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A92C4" w14:textId="77777777" w:rsidR="0043177E" w:rsidRPr="00642AC1" w:rsidRDefault="00000000">
      <w:pPr>
        <w:spacing w:after="80"/>
        <w:jc w:val="center"/>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40"/>
          <w:szCs w:val="40"/>
        </w:rPr>
        <w:t>Does VAR Lead to More Red Cards?</w:t>
      </w:r>
    </w:p>
    <w:p w14:paraId="00AA508F" w14:textId="0FA6A4D1" w:rsidR="00570D37" w:rsidRPr="00346AFD" w:rsidRDefault="00000000" w:rsidP="00346AFD">
      <w:pPr>
        <w:spacing w:after="60"/>
        <w:jc w:val="center"/>
        <w:rPr>
          <w:rFonts w:asciiTheme="majorHAnsi" w:hAnsiTheme="majorHAnsi" w:cstheme="majorHAnsi"/>
          <w:sz w:val="16"/>
          <w:szCs w:val="16"/>
        </w:rPr>
      </w:pPr>
      <w:r w:rsidRPr="00642AC1">
        <w:rPr>
          <w:rFonts w:asciiTheme="majorHAnsi" w:hAnsiTheme="majorHAnsi" w:cstheme="majorHAnsi"/>
          <w:color w:val="9CA3AF"/>
          <w:sz w:val="18"/>
          <w:szCs w:val="18"/>
        </w:rPr>
        <w:t>Evidence from a Staggered Difference-in-Differences Design Across</w:t>
      </w:r>
      <w:r w:rsidR="00570D37" w:rsidRPr="00642AC1">
        <w:rPr>
          <w:rFonts w:asciiTheme="majorHAnsi" w:hAnsiTheme="majorHAnsi" w:cstheme="majorHAnsi"/>
          <w:color w:val="9CA3AF"/>
          <w:sz w:val="18"/>
          <w:szCs w:val="18"/>
        </w:rPr>
        <w:t xml:space="preserve"> Teams in</w:t>
      </w:r>
      <w:r w:rsidRPr="00642AC1">
        <w:rPr>
          <w:rFonts w:asciiTheme="majorHAnsi" w:hAnsiTheme="majorHAnsi" w:cstheme="majorHAnsi"/>
          <w:color w:val="9CA3AF"/>
          <w:sz w:val="18"/>
          <w:szCs w:val="18"/>
        </w:rPr>
        <w:t xml:space="preserve"> Three Major </w:t>
      </w:r>
      <w:r w:rsidR="00570D37" w:rsidRPr="00642AC1">
        <w:rPr>
          <w:rFonts w:asciiTheme="majorHAnsi" w:hAnsiTheme="majorHAnsi" w:cstheme="majorHAnsi"/>
          <w:color w:val="9CA3AF"/>
          <w:sz w:val="18"/>
          <w:szCs w:val="18"/>
        </w:rPr>
        <w:t xml:space="preserve">Top Tier </w:t>
      </w:r>
      <w:r w:rsidRPr="00642AC1">
        <w:rPr>
          <w:rFonts w:asciiTheme="majorHAnsi" w:hAnsiTheme="majorHAnsi" w:cstheme="majorHAnsi"/>
          <w:color w:val="9CA3AF"/>
          <w:sz w:val="18"/>
          <w:szCs w:val="18"/>
        </w:rPr>
        <w:t>European Football Leagues</w:t>
      </w:r>
    </w:p>
    <w:p w14:paraId="1858F37D" w14:textId="0DA33296" w:rsidR="00AE6D23" w:rsidRPr="00AE6D23" w:rsidRDefault="00AE6D23" w:rsidP="00AE6D23">
      <w:pPr>
        <w:pBdr>
          <w:bottom w:val="single" w:sz="4" w:space="2" w:color="2A9D8F"/>
        </w:pBdr>
        <w:spacing w:before="240" w:after="80"/>
        <w:rPr>
          <w:rFonts w:asciiTheme="majorHAnsi" w:hAnsiTheme="majorHAnsi" w:cstheme="majorHAnsi"/>
          <w:b/>
          <w:bCs/>
          <w:color w:val="05676C" w:themeColor="accent3" w:themeShade="80"/>
        </w:rPr>
      </w:pPr>
      <w:r w:rsidRPr="00AE6D23">
        <w:rPr>
          <w:rFonts w:asciiTheme="majorHAnsi" w:hAnsiTheme="majorHAnsi" w:cstheme="majorHAnsi"/>
          <w:b/>
          <w:bCs/>
          <w:color w:val="05676C" w:themeColor="accent3" w:themeShade="80"/>
          <w:sz w:val="26"/>
          <w:szCs w:val="26"/>
        </w:rPr>
        <w:t>Abstract</w:t>
      </w:r>
    </w:p>
    <w:p w14:paraId="0856BBBE" w14:textId="3BB16EB4" w:rsidR="0043177E" w:rsidRPr="00AE6D23" w:rsidRDefault="00AE6D23" w:rsidP="00AE6D23">
      <w:pPr>
        <w:spacing w:after="100" w:line="280" w:lineRule="auto"/>
        <w:jc w:val="both"/>
        <w:rPr>
          <w:rFonts w:asciiTheme="majorHAnsi" w:hAnsiTheme="majorHAnsi" w:cstheme="majorHAnsi"/>
          <w:sz w:val="19"/>
          <w:szCs w:val="19"/>
        </w:rPr>
      </w:pPr>
      <w:r w:rsidRPr="00AE6D23">
        <w:rPr>
          <w:rFonts w:asciiTheme="majorHAnsi" w:hAnsiTheme="majorHAnsi" w:cstheme="majorHAnsi"/>
          <w:sz w:val="19"/>
          <w:szCs w:val="19"/>
        </w:rPr>
        <w:t xml:space="preserve">This paper investigates whether the introduction of the Video Assistant Referee (VAR) </w:t>
      </w:r>
      <w:r>
        <w:rPr>
          <w:rFonts w:asciiTheme="majorHAnsi" w:hAnsiTheme="majorHAnsi" w:cstheme="majorHAnsi"/>
          <w:sz w:val="19"/>
          <w:szCs w:val="19"/>
        </w:rPr>
        <w:t xml:space="preserve">leads to a </w:t>
      </w:r>
      <w:r w:rsidRPr="00AE6D23">
        <w:rPr>
          <w:rFonts w:asciiTheme="majorHAnsi" w:hAnsiTheme="majorHAnsi" w:cstheme="majorHAnsi"/>
          <w:sz w:val="19"/>
          <w:szCs w:val="19"/>
        </w:rPr>
        <w:t>causal increase</w:t>
      </w:r>
      <w:r>
        <w:rPr>
          <w:rFonts w:asciiTheme="majorHAnsi" w:hAnsiTheme="majorHAnsi" w:cstheme="majorHAnsi"/>
          <w:sz w:val="19"/>
          <w:szCs w:val="19"/>
        </w:rPr>
        <w:t xml:space="preserve"> in </w:t>
      </w:r>
      <w:r w:rsidRPr="00AE6D23">
        <w:rPr>
          <w:rFonts w:asciiTheme="majorHAnsi" w:hAnsiTheme="majorHAnsi" w:cstheme="majorHAnsi"/>
          <w:sz w:val="19"/>
          <w:szCs w:val="19"/>
        </w:rPr>
        <w:t xml:space="preserve">the number of red cards </w:t>
      </w:r>
      <w:r>
        <w:rPr>
          <w:rFonts w:asciiTheme="majorHAnsi" w:hAnsiTheme="majorHAnsi" w:cstheme="majorHAnsi"/>
          <w:sz w:val="19"/>
          <w:szCs w:val="19"/>
        </w:rPr>
        <w:t xml:space="preserve">given </w:t>
      </w:r>
      <w:r w:rsidRPr="00AE6D23">
        <w:rPr>
          <w:rFonts w:asciiTheme="majorHAnsi" w:hAnsiTheme="majorHAnsi" w:cstheme="majorHAnsi"/>
          <w:sz w:val="19"/>
          <w:szCs w:val="19"/>
        </w:rPr>
        <w:t xml:space="preserve">per match. </w:t>
      </w:r>
      <w:r>
        <w:rPr>
          <w:rFonts w:asciiTheme="majorHAnsi" w:hAnsiTheme="majorHAnsi" w:cstheme="majorHAnsi"/>
          <w:sz w:val="19"/>
          <w:szCs w:val="19"/>
        </w:rPr>
        <w:t xml:space="preserve">I have used </w:t>
      </w:r>
      <w:r w:rsidRPr="00AE6D23">
        <w:rPr>
          <w:rFonts w:asciiTheme="majorHAnsi" w:hAnsiTheme="majorHAnsi" w:cstheme="majorHAnsi"/>
          <w:sz w:val="19"/>
          <w:szCs w:val="19"/>
        </w:rPr>
        <w:t xml:space="preserve">match-level data from 11,475 games across the Bundesliga, Ligue 1, and Premier League </w:t>
      </w:r>
      <w:r>
        <w:rPr>
          <w:rFonts w:asciiTheme="majorHAnsi" w:hAnsiTheme="majorHAnsi" w:cstheme="majorHAnsi"/>
          <w:sz w:val="19"/>
          <w:szCs w:val="19"/>
        </w:rPr>
        <w:t xml:space="preserve">from the </w:t>
      </w:r>
      <w:proofErr w:type="gramStart"/>
      <w:r>
        <w:rPr>
          <w:rFonts w:asciiTheme="majorHAnsi" w:hAnsiTheme="majorHAnsi" w:cstheme="majorHAnsi"/>
          <w:sz w:val="19"/>
          <w:szCs w:val="19"/>
        </w:rPr>
        <w:t>time period</w:t>
      </w:r>
      <w:proofErr w:type="gramEnd"/>
      <w:r>
        <w:rPr>
          <w:rFonts w:asciiTheme="majorHAnsi" w:hAnsiTheme="majorHAnsi" w:cstheme="majorHAnsi"/>
          <w:sz w:val="19"/>
          <w:szCs w:val="19"/>
        </w:rPr>
        <w:t xml:space="preserve"> </w:t>
      </w:r>
      <w:r w:rsidRPr="00AE6D23">
        <w:rPr>
          <w:rFonts w:asciiTheme="majorHAnsi" w:hAnsiTheme="majorHAnsi" w:cstheme="majorHAnsi"/>
          <w:sz w:val="19"/>
          <w:szCs w:val="19"/>
        </w:rPr>
        <w:t>2014-25, the staggered adoption of VAR in 2017, 2018, and 2019</w:t>
      </w:r>
      <w:r>
        <w:rPr>
          <w:rFonts w:asciiTheme="majorHAnsi" w:hAnsiTheme="majorHAnsi" w:cstheme="majorHAnsi"/>
          <w:sz w:val="19"/>
          <w:szCs w:val="19"/>
        </w:rPr>
        <w:t xml:space="preserve">. This acts </w:t>
      </w:r>
      <w:r w:rsidRPr="00AE6D23">
        <w:rPr>
          <w:rFonts w:asciiTheme="majorHAnsi" w:hAnsiTheme="majorHAnsi" w:cstheme="majorHAnsi"/>
          <w:sz w:val="19"/>
          <w:szCs w:val="19"/>
        </w:rPr>
        <w:t>as a natural experiment. A two-way fixed effects (TWFE) model with home</w:t>
      </w:r>
      <w:r>
        <w:rPr>
          <w:rFonts w:asciiTheme="majorHAnsi" w:hAnsiTheme="majorHAnsi" w:cstheme="majorHAnsi"/>
          <w:sz w:val="19"/>
          <w:szCs w:val="19"/>
        </w:rPr>
        <w:t xml:space="preserve"> </w:t>
      </w:r>
      <w:r w:rsidRPr="00AE6D23">
        <w:rPr>
          <w:rFonts w:asciiTheme="majorHAnsi" w:hAnsiTheme="majorHAnsi" w:cstheme="majorHAnsi"/>
          <w:sz w:val="19"/>
          <w:szCs w:val="19"/>
        </w:rPr>
        <w:t>and away</w:t>
      </w:r>
      <w:r>
        <w:rPr>
          <w:rFonts w:asciiTheme="majorHAnsi" w:hAnsiTheme="majorHAnsi" w:cstheme="majorHAnsi"/>
          <w:sz w:val="19"/>
          <w:szCs w:val="19"/>
        </w:rPr>
        <w:t xml:space="preserve"> </w:t>
      </w:r>
      <w:r w:rsidRPr="00AE6D23">
        <w:rPr>
          <w:rFonts w:asciiTheme="majorHAnsi" w:hAnsiTheme="majorHAnsi" w:cstheme="majorHAnsi"/>
          <w:sz w:val="19"/>
          <w:szCs w:val="19"/>
        </w:rPr>
        <w:t xml:space="preserve">team fixed effects and season fixed effects </w:t>
      </w:r>
      <w:r>
        <w:rPr>
          <w:rFonts w:asciiTheme="majorHAnsi" w:hAnsiTheme="majorHAnsi" w:cstheme="majorHAnsi"/>
          <w:sz w:val="19"/>
          <w:szCs w:val="19"/>
        </w:rPr>
        <w:t xml:space="preserve">gives </w:t>
      </w:r>
      <w:r w:rsidRPr="00AE6D23">
        <w:rPr>
          <w:rFonts w:asciiTheme="majorHAnsi" w:hAnsiTheme="majorHAnsi" w:cstheme="majorHAnsi"/>
          <w:sz w:val="19"/>
          <w:szCs w:val="19"/>
        </w:rPr>
        <w:t>a pooled VAR coefficient of +0.014 red cards per match (</w:t>
      </w:r>
      <w:r>
        <w:rPr>
          <w:rFonts w:asciiTheme="majorHAnsi" w:hAnsiTheme="majorHAnsi" w:cstheme="majorHAnsi"/>
          <w:sz w:val="19"/>
          <w:szCs w:val="19"/>
        </w:rPr>
        <w:t xml:space="preserve">with </w:t>
      </w:r>
      <w:r w:rsidRPr="00AE6D23">
        <w:rPr>
          <w:rFonts w:asciiTheme="majorHAnsi" w:hAnsiTheme="majorHAnsi" w:cstheme="majorHAnsi"/>
          <w:sz w:val="19"/>
          <w:szCs w:val="19"/>
        </w:rPr>
        <w:t xml:space="preserve">SE=0.024, p=0.54), </w:t>
      </w:r>
      <w:r>
        <w:rPr>
          <w:rFonts w:asciiTheme="majorHAnsi" w:hAnsiTheme="majorHAnsi" w:cstheme="majorHAnsi"/>
          <w:sz w:val="19"/>
          <w:szCs w:val="19"/>
        </w:rPr>
        <w:t xml:space="preserve">which is </w:t>
      </w:r>
      <w:r w:rsidRPr="00AE6D23">
        <w:rPr>
          <w:rFonts w:asciiTheme="majorHAnsi" w:hAnsiTheme="majorHAnsi" w:cstheme="majorHAnsi"/>
          <w:sz w:val="19"/>
          <w:szCs w:val="19"/>
        </w:rPr>
        <w:t>consistent in sign but statistically insignificant. Standard errors are clustered at the team level (</w:t>
      </w:r>
      <w:r w:rsidR="00346AFD">
        <w:rPr>
          <w:rFonts w:asciiTheme="majorHAnsi" w:hAnsiTheme="majorHAnsi" w:cstheme="majorHAnsi"/>
          <w:sz w:val="19"/>
          <w:szCs w:val="19"/>
        </w:rPr>
        <w:t>N</w:t>
      </w:r>
      <w:r w:rsidRPr="00AE6D23">
        <w:rPr>
          <w:rFonts w:asciiTheme="majorHAnsi" w:hAnsiTheme="majorHAnsi" w:cstheme="majorHAnsi"/>
          <w:sz w:val="19"/>
          <w:szCs w:val="19"/>
        </w:rPr>
        <w:t xml:space="preserve">=98). </w:t>
      </w:r>
      <w:r>
        <w:rPr>
          <w:rFonts w:asciiTheme="majorHAnsi" w:hAnsiTheme="majorHAnsi" w:cstheme="majorHAnsi"/>
          <w:sz w:val="19"/>
          <w:szCs w:val="19"/>
        </w:rPr>
        <w:t>Interestingly, h</w:t>
      </w:r>
      <w:r w:rsidRPr="00AE6D23">
        <w:rPr>
          <w:rFonts w:asciiTheme="majorHAnsi" w:hAnsiTheme="majorHAnsi" w:cstheme="majorHAnsi"/>
          <w:sz w:val="19"/>
          <w:szCs w:val="19"/>
        </w:rPr>
        <w:t>eterogeneity analysis reveal</w:t>
      </w:r>
      <w:r>
        <w:rPr>
          <w:rFonts w:asciiTheme="majorHAnsi" w:hAnsiTheme="majorHAnsi" w:cstheme="majorHAnsi"/>
          <w:sz w:val="19"/>
          <w:szCs w:val="19"/>
        </w:rPr>
        <w:t>ed</w:t>
      </w:r>
      <w:r w:rsidRPr="00AE6D23">
        <w:rPr>
          <w:rFonts w:asciiTheme="majorHAnsi" w:hAnsiTheme="majorHAnsi" w:cstheme="majorHAnsi"/>
          <w:sz w:val="19"/>
          <w:szCs w:val="19"/>
        </w:rPr>
        <w:t xml:space="preserve"> opposing league-level effects: VAR is associated with fewer red cards in the Bundesliga and more in Ligue 1, </w:t>
      </w:r>
      <w:r>
        <w:rPr>
          <w:rFonts w:asciiTheme="majorHAnsi" w:hAnsiTheme="majorHAnsi" w:cstheme="majorHAnsi"/>
          <w:sz w:val="19"/>
          <w:szCs w:val="19"/>
        </w:rPr>
        <w:t xml:space="preserve">perhaps hinting towards a </w:t>
      </w:r>
      <w:r w:rsidRPr="00AE6D23">
        <w:rPr>
          <w:rFonts w:asciiTheme="majorHAnsi" w:hAnsiTheme="majorHAnsi" w:cstheme="majorHAnsi"/>
          <w:sz w:val="19"/>
          <w:szCs w:val="19"/>
        </w:rPr>
        <w:t xml:space="preserve">refereeing culture </w:t>
      </w:r>
      <w:r>
        <w:rPr>
          <w:rFonts w:asciiTheme="majorHAnsi" w:hAnsiTheme="majorHAnsi" w:cstheme="majorHAnsi"/>
          <w:sz w:val="19"/>
          <w:szCs w:val="19"/>
        </w:rPr>
        <w:t xml:space="preserve">as a tool to deliver </w:t>
      </w:r>
      <w:r w:rsidRPr="00AE6D23">
        <w:rPr>
          <w:rFonts w:asciiTheme="majorHAnsi" w:hAnsiTheme="majorHAnsi" w:cstheme="majorHAnsi"/>
          <w:sz w:val="19"/>
          <w:szCs w:val="19"/>
        </w:rPr>
        <w:t>the technology's impact.</w:t>
      </w:r>
    </w:p>
    <w:p w14:paraId="026D2685" w14:textId="77777777" w:rsidR="0043177E" w:rsidRPr="00642AC1" w:rsidRDefault="00000000">
      <w:pPr>
        <w:pBdr>
          <w:bottom w:val="single" w:sz="4" w:space="2" w:color="2A9D8F"/>
        </w:pBdr>
        <w:spacing w:before="240" w:after="8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6"/>
          <w:szCs w:val="26"/>
        </w:rPr>
        <w:t>1. Introduction</w:t>
      </w:r>
    </w:p>
    <w:p w14:paraId="306B5C2A" w14:textId="33A2393E"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 xml:space="preserve">The Video Assistant Referee (VAR) is the most significant regulatory change in </w:t>
      </w:r>
      <w:r w:rsidR="00AE6D23">
        <w:rPr>
          <w:rFonts w:asciiTheme="majorHAnsi" w:hAnsiTheme="majorHAnsi" w:cstheme="majorHAnsi"/>
          <w:sz w:val="19"/>
          <w:szCs w:val="19"/>
        </w:rPr>
        <w:t>modern</w:t>
      </w:r>
      <w:r w:rsidRPr="00642AC1">
        <w:rPr>
          <w:rFonts w:asciiTheme="majorHAnsi" w:hAnsiTheme="majorHAnsi" w:cstheme="majorHAnsi"/>
          <w:sz w:val="19"/>
          <w:szCs w:val="19"/>
        </w:rPr>
        <w:t xml:space="preserve"> football. </w:t>
      </w:r>
      <w:r w:rsidR="00AE6D23">
        <w:rPr>
          <w:rFonts w:asciiTheme="majorHAnsi" w:hAnsiTheme="majorHAnsi" w:cstheme="majorHAnsi"/>
          <w:sz w:val="19"/>
          <w:szCs w:val="19"/>
        </w:rPr>
        <w:t>It was i</w:t>
      </w:r>
      <w:r w:rsidRPr="00642AC1">
        <w:rPr>
          <w:rFonts w:asciiTheme="majorHAnsi" w:hAnsiTheme="majorHAnsi" w:cstheme="majorHAnsi"/>
          <w:sz w:val="19"/>
          <w:szCs w:val="19"/>
        </w:rPr>
        <w:t>ntroduced to correct clear and obvious errors in goal, penalty, red card, and mistaken identity decisions</w:t>
      </w:r>
      <w:r w:rsidR="00AE6D23">
        <w:rPr>
          <w:rFonts w:asciiTheme="majorHAnsi" w:hAnsiTheme="majorHAnsi" w:cstheme="majorHAnsi"/>
          <w:sz w:val="19"/>
          <w:szCs w:val="19"/>
        </w:rPr>
        <w:t>. However,</w:t>
      </w:r>
      <w:r w:rsidRPr="00642AC1">
        <w:rPr>
          <w:rFonts w:asciiTheme="majorHAnsi" w:hAnsiTheme="majorHAnsi" w:cstheme="majorHAnsi"/>
          <w:sz w:val="19"/>
          <w:szCs w:val="19"/>
        </w:rPr>
        <w:t xml:space="preserve"> </w:t>
      </w:r>
      <w:r w:rsidR="00AE6D23">
        <w:rPr>
          <w:rFonts w:asciiTheme="majorHAnsi" w:hAnsiTheme="majorHAnsi" w:cstheme="majorHAnsi"/>
          <w:sz w:val="19"/>
          <w:szCs w:val="19"/>
        </w:rPr>
        <w:t xml:space="preserve">since its adoption, </w:t>
      </w:r>
      <w:r w:rsidRPr="00642AC1">
        <w:rPr>
          <w:rFonts w:asciiTheme="majorHAnsi" w:hAnsiTheme="majorHAnsi" w:cstheme="majorHAnsi"/>
          <w:sz w:val="19"/>
          <w:szCs w:val="19"/>
        </w:rPr>
        <w:t xml:space="preserve">VAR has </w:t>
      </w:r>
      <w:r w:rsidR="00AE6D23">
        <w:rPr>
          <w:rFonts w:asciiTheme="majorHAnsi" w:hAnsiTheme="majorHAnsi" w:cstheme="majorHAnsi"/>
          <w:sz w:val="19"/>
          <w:szCs w:val="19"/>
        </w:rPr>
        <w:t xml:space="preserve">led to a strong </w:t>
      </w:r>
      <w:r w:rsidRPr="00642AC1">
        <w:rPr>
          <w:rFonts w:asciiTheme="majorHAnsi" w:hAnsiTheme="majorHAnsi" w:cstheme="majorHAnsi"/>
          <w:sz w:val="19"/>
          <w:szCs w:val="19"/>
        </w:rPr>
        <w:t>debate about whether the technology makes the game fairer or disrupts its flow.</w:t>
      </w:r>
    </w:p>
    <w:p w14:paraId="21BB724E" w14:textId="0BC7B1F6"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 xml:space="preserve">This paper focuses on a </w:t>
      </w:r>
      <w:r w:rsidR="00AE6D23">
        <w:rPr>
          <w:rFonts w:asciiTheme="majorHAnsi" w:hAnsiTheme="majorHAnsi" w:cstheme="majorHAnsi"/>
          <w:sz w:val="19"/>
          <w:szCs w:val="19"/>
        </w:rPr>
        <w:t xml:space="preserve">simple, </w:t>
      </w:r>
      <w:r w:rsidRPr="00642AC1">
        <w:rPr>
          <w:rFonts w:asciiTheme="majorHAnsi" w:hAnsiTheme="majorHAnsi" w:cstheme="majorHAnsi"/>
          <w:sz w:val="19"/>
          <w:szCs w:val="19"/>
        </w:rPr>
        <w:t>specific</w:t>
      </w:r>
      <w:r w:rsidR="00AE6D23">
        <w:rPr>
          <w:rFonts w:asciiTheme="majorHAnsi" w:hAnsiTheme="majorHAnsi" w:cstheme="majorHAnsi"/>
          <w:sz w:val="19"/>
          <w:szCs w:val="19"/>
        </w:rPr>
        <w:t xml:space="preserve"> yet </w:t>
      </w:r>
      <w:r w:rsidRPr="00642AC1">
        <w:rPr>
          <w:rFonts w:asciiTheme="majorHAnsi" w:hAnsiTheme="majorHAnsi" w:cstheme="majorHAnsi"/>
          <w:sz w:val="19"/>
          <w:szCs w:val="19"/>
        </w:rPr>
        <w:t>measurable outcome: does VAR cause more red cards to be awarded per match? The causal mechanism is direct</w:t>
      </w:r>
      <w:r w:rsidR="00570D37" w:rsidRPr="00642AC1">
        <w:rPr>
          <w:rFonts w:asciiTheme="majorHAnsi" w:hAnsiTheme="majorHAnsi" w:cstheme="majorHAnsi"/>
          <w:sz w:val="19"/>
          <w:szCs w:val="19"/>
        </w:rPr>
        <w:t xml:space="preserve">. </w:t>
      </w:r>
      <w:r w:rsidRPr="00642AC1">
        <w:rPr>
          <w:rFonts w:asciiTheme="majorHAnsi" w:hAnsiTheme="majorHAnsi" w:cstheme="majorHAnsi"/>
          <w:sz w:val="19"/>
          <w:szCs w:val="19"/>
        </w:rPr>
        <w:t xml:space="preserve">VAR allows referees to review serious foul play incidents that may have been missed or misjudged in real time, potentially upgrading yellow cards to red or issuing reds for incidents not originally sanctioned. The </w:t>
      </w:r>
      <w:r w:rsidR="00AE6D23">
        <w:rPr>
          <w:rFonts w:asciiTheme="majorHAnsi" w:hAnsiTheme="majorHAnsi" w:cstheme="majorHAnsi"/>
          <w:sz w:val="19"/>
          <w:szCs w:val="19"/>
        </w:rPr>
        <w:t xml:space="preserve">overarching </w:t>
      </w:r>
      <w:r w:rsidRPr="00642AC1">
        <w:rPr>
          <w:rFonts w:asciiTheme="majorHAnsi" w:hAnsiTheme="majorHAnsi" w:cstheme="majorHAnsi"/>
          <w:sz w:val="19"/>
          <w:szCs w:val="19"/>
        </w:rPr>
        <w:t xml:space="preserve">policy relevance is </w:t>
      </w:r>
      <w:r w:rsidR="00AE6D23">
        <w:rPr>
          <w:rFonts w:asciiTheme="majorHAnsi" w:hAnsiTheme="majorHAnsi" w:cstheme="majorHAnsi"/>
          <w:sz w:val="19"/>
          <w:szCs w:val="19"/>
        </w:rPr>
        <w:t xml:space="preserve">that </w:t>
      </w:r>
      <w:r w:rsidRPr="00642AC1">
        <w:rPr>
          <w:rFonts w:asciiTheme="majorHAnsi" w:hAnsiTheme="majorHAnsi" w:cstheme="majorHAnsi"/>
          <w:sz w:val="19"/>
          <w:szCs w:val="19"/>
        </w:rPr>
        <w:t xml:space="preserve">if VAR increases dismissals, it changes </w:t>
      </w:r>
      <w:r w:rsidR="00AE6D23">
        <w:rPr>
          <w:rFonts w:asciiTheme="majorHAnsi" w:hAnsiTheme="majorHAnsi" w:cstheme="majorHAnsi"/>
          <w:sz w:val="19"/>
          <w:szCs w:val="19"/>
        </w:rPr>
        <w:t xml:space="preserve">not only the </w:t>
      </w:r>
      <w:r w:rsidRPr="00642AC1">
        <w:rPr>
          <w:rFonts w:asciiTheme="majorHAnsi" w:hAnsiTheme="majorHAnsi" w:cstheme="majorHAnsi"/>
          <w:sz w:val="19"/>
          <w:szCs w:val="19"/>
        </w:rPr>
        <w:t xml:space="preserve">competitive balance, </w:t>
      </w:r>
      <w:r w:rsidR="00AE6D23">
        <w:rPr>
          <w:rFonts w:asciiTheme="majorHAnsi" w:hAnsiTheme="majorHAnsi" w:cstheme="majorHAnsi"/>
          <w:sz w:val="19"/>
          <w:szCs w:val="19"/>
        </w:rPr>
        <w:t xml:space="preserve">but </w:t>
      </w:r>
      <w:r w:rsidRPr="00642AC1">
        <w:rPr>
          <w:rFonts w:asciiTheme="majorHAnsi" w:hAnsiTheme="majorHAnsi" w:cstheme="majorHAnsi"/>
          <w:sz w:val="19"/>
          <w:szCs w:val="19"/>
        </w:rPr>
        <w:t>squad planning and the entertainment value of the sport</w:t>
      </w:r>
      <w:r w:rsidR="00AE6D23">
        <w:rPr>
          <w:rFonts w:asciiTheme="majorHAnsi" w:hAnsiTheme="majorHAnsi" w:cstheme="majorHAnsi"/>
          <w:sz w:val="19"/>
          <w:szCs w:val="19"/>
        </w:rPr>
        <w:t xml:space="preserve"> too</w:t>
      </w:r>
      <w:r w:rsidRPr="00642AC1">
        <w:rPr>
          <w:rFonts w:asciiTheme="majorHAnsi" w:hAnsiTheme="majorHAnsi" w:cstheme="majorHAnsi"/>
          <w:sz w:val="19"/>
          <w:szCs w:val="19"/>
        </w:rPr>
        <w:t>.</w:t>
      </w:r>
    </w:p>
    <w:p w14:paraId="2F1CE9E9" w14:textId="230C9F8B"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 xml:space="preserve">The causal effect is identified by </w:t>
      </w:r>
      <w:r w:rsidR="00AE6D23">
        <w:rPr>
          <w:rFonts w:asciiTheme="majorHAnsi" w:hAnsiTheme="majorHAnsi" w:cstheme="majorHAnsi"/>
          <w:sz w:val="19"/>
          <w:szCs w:val="19"/>
        </w:rPr>
        <w:t xml:space="preserve">using </w:t>
      </w:r>
      <w:r w:rsidRPr="00642AC1">
        <w:rPr>
          <w:rFonts w:asciiTheme="majorHAnsi" w:hAnsiTheme="majorHAnsi" w:cstheme="majorHAnsi"/>
          <w:sz w:val="19"/>
          <w:szCs w:val="19"/>
        </w:rPr>
        <w:t>the staggered introduction of VAR across three leagues</w:t>
      </w:r>
      <w:r w:rsidR="00570D37" w:rsidRPr="00642AC1">
        <w:rPr>
          <w:rFonts w:asciiTheme="majorHAnsi" w:hAnsiTheme="majorHAnsi" w:cstheme="majorHAnsi"/>
          <w:sz w:val="19"/>
          <w:szCs w:val="19"/>
        </w:rPr>
        <w:t xml:space="preserve"> </w:t>
      </w:r>
      <w:r w:rsidR="00570D37" w:rsidRPr="00642AC1">
        <w:rPr>
          <w:rFonts w:asciiTheme="majorHAnsi" w:hAnsiTheme="majorHAnsi" w:cstheme="majorHAnsi"/>
          <w:sz w:val="19"/>
          <w:szCs w:val="19"/>
        </w:rPr>
        <w:t xml:space="preserve">as a </w:t>
      </w:r>
      <w:r w:rsidR="00570D37" w:rsidRPr="00AE6D23">
        <w:rPr>
          <w:rFonts w:asciiTheme="majorHAnsi" w:hAnsiTheme="majorHAnsi" w:cstheme="majorHAnsi"/>
          <w:i/>
          <w:iCs/>
          <w:sz w:val="19"/>
          <w:szCs w:val="19"/>
        </w:rPr>
        <w:t xml:space="preserve">natural </w:t>
      </w:r>
      <w:r w:rsidR="00570D37" w:rsidRPr="00AE6D23">
        <w:rPr>
          <w:rFonts w:asciiTheme="majorHAnsi" w:hAnsiTheme="majorHAnsi" w:cstheme="majorHAnsi"/>
          <w:sz w:val="19"/>
          <w:szCs w:val="19"/>
        </w:rPr>
        <w:t>experiment</w:t>
      </w:r>
      <w:r w:rsidR="00570D37" w:rsidRPr="00642AC1">
        <w:rPr>
          <w:rFonts w:asciiTheme="majorHAnsi" w:hAnsiTheme="majorHAnsi" w:cstheme="majorHAnsi"/>
          <w:sz w:val="19"/>
          <w:szCs w:val="19"/>
        </w:rPr>
        <w:t xml:space="preserve">: </w:t>
      </w:r>
      <w:r w:rsidRPr="00642AC1">
        <w:rPr>
          <w:rFonts w:asciiTheme="majorHAnsi" w:hAnsiTheme="majorHAnsi" w:cstheme="majorHAnsi"/>
          <w:sz w:val="19"/>
          <w:szCs w:val="19"/>
        </w:rPr>
        <w:t xml:space="preserve">Bundesliga </w:t>
      </w:r>
      <w:r w:rsidR="00AE6D23">
        <w:rPr>
          <w:rFonts w:asciiTheme="majorHAnsi" w:hAnsiTheme="majorHAnsi" w:cstheme="majorHAnsi"/>
          <w:sz w:val="19"/>
          <w:szCs w:val="19"/>
        </w:rPr>
        <w:t xml:space="preserve">had it first formally introduced in the </w:t>
      </w:r>
      <w:r w:rsidRPr="00642AC1">
        <w:rPr>
          <w:rFonts w:asciiTheme="majorHAnsi" w:hAnsiTheme="majorHAnsi" w:cstheme="majorHAnsi"/>
          <w:sz w:val="19"/>
          <w:szCs w:val="19"/>
        </w:rPr>
        <w:t>2017/18</w:t>
      </w:r>
      <w:r w:rsidR="00AE6D23">
        <w:rPr>
          <w:rFonts w:asciiTheme="majorHAnsi" w:hAnsiTheme="majorHAnsi" w:cstheme="majorHAnsi"/>
          <w:sz w:val="19"/>
          <w:szCs w:val="19"/>
        </w:rPr>
        <w:t xml:space="preserve"> season</w:t>
      </w:r>
      <w:r w:rsidRPr="00642AC1">
        <w:rPr>
          <w:rFonts w:asciiTheme="majorHAnsi" w:hAnsiTheme="majorHAnsi" w:cstheme="majorHAnsi"/>
          <w:sz w:val="19"/>
          <w:szCs w:val="19"/>
        </w:rPr>
        <w:t xml:space="preserve">, </w:t>
      </w:r>
      <w:r w:rsidR="00AE6D23">
        <w:rPr>
          <w:rFonts w:asciiTheme="majorHAnsi" w:hAnsiTheme="majorHAnsi" w:cstheme="majorHAnsi"/>
          <w:sz w:val="19"/>
          <w:szCs w:val="19"/>
        </w:rPr>
        <w:t xml:space="preserve">the </w:t>
      </w:r>
      <w:r w:rsidRPr="00642AC1">
        <w:rPr>
          <w:rFonts w:asciiTheme="majorHAnsi" w:hAnsiTheme="majorHAnsi" w:cstheme="majorHAnsi"/>
          <w:sz w:val="19"/>
          <w:szCs w:val="19"/>
        </w:rPr>
        <w:t xml:space="preserve">Ligue 1 </w:t>
      </w:r>
      <w:r w:rsidR="00AE6D23">
        <w:rPr>
          <w:rFonts w:asciiTheme="majorHAnsi" w:hAnsiTheme="majorHAnsi" w:cstheme="majorHAnsi"/>
          <w:sz w:val="19"/>
          <w:szCs w:val="19"/>
        </w:rPr>
        <w:t xml:space="preserve">in </w:t>
      </w:r>
      <w:r w:rsidRPr="00642AC1">
        <w:rPr>
          <w:rFonts w:asciiTheme="majorHAnsi" w:hAnsiTheme="majorHAnsi" w:cstheme="majorHAnsi"/>
          <w:sz w:val="19"/>
          <w:szCs w:val="19"/>
        </w:rPr>
        <w:t xml:space="preserve">2018/19, and </w:t>
      </w:r>
      <w:r w:rsidR="00AE6D23">
        <w:rPr>
          <w:rFonts w:asciiTheme="majorHAnsi" w:hAnsiTheme="majorHAnsi" w:cstheme="majorHAnsi"/>
          <w:sz w:val="19"/>
          <w:szCs w:val="19"/>
        </w:rPr>
        <w:t xml:space="preserve">the </w:t>
      </w:r>
      <w:r w:rsidRPr="00642AC1">
        <w:rPr>
          <w:rFonts w:asciiTheme="majorHAnsi" w:hAnsiTheme="majorHAnsi" w:cstheme="majorHAnsi"/>
          <w:sz w:val="19"/>
          <w:szCs w:val="19"/>
        </w:rPr>
        <w:t xml:space="preserve">Premier League </w:t>
      </w:r>
      <w:r w:rsidR="00AE6D23">
        <w:rPr>
          <w:rFonts w:asciiTheme="majorHAnsi" w:hAnsiTheme="majorHAnsi" w:cstheme="majorHAnsi"/>
          <w:sz w:val="19"/>
          <w:szCs w:val="19"/>
        </w:rPr>
        <w:t xml:space="preserve">in </w:t>
      </w:r>
      <w:r w:rsidRPr="00642AC1">
        <w:rPr>
          <w:rFonts w:asciiTheme="majorHAnsi" w:hAnsiTheme="majorHAnsi" w:cstheme="majorHAnsi"/>
          <w:sz w:val="19"/>
          <w:szCs w:val="19"/>
        </w:rPr>
        <w:t>2019/20. This provides within-country and cross-league control groups at every point in time</w:t>
      </w:r>
      <w:r w:rsidR="00AE6D23">
        <w:rPr>
          <w:rFonts w:asciiTheme="majorHAnsi" w:hAnsiTheme="majorHAnsi" w:cstheme="majorHAnsi"/>
          <w:sz w:val="19"/>
          <w:szCs w:val="19"/>
        </w:rPr>
        <w:t xml:space="preserve"> and thus </w:t>
      </w:r>
      <w:r w:rsidRPr="00642AC1">
        <w:rPr>
          <w:rFonts w:asciiTheme="majorHAnsi" w:hAnsiTheme="majorHAnsi" w:cstheme="majorHAnsi"/>
          <w:sz w:val="19"/>
          <w:szCs w:val="19"/>
        </w:rPr>
        <w:t xml:space="preserve">a </w:t>
      </w:r>
      <w:r w:rsidR="00AE6D23">
        <w:rPr>
          <w:rFonts w:asciiTheme="majorHAnsi" w:hAnsiTheme="majorHAnsi" w:cstheme="majorHAnsi"/>
          <w:sz w:val="19"/>
          <w:szCs w:val="19"/>
        </w:rPr>
        <w:t xml:space="preserve">strong </w:t>
      </w:r>
      <w:r w:rsidRPr="00642AC1">
        <w:rPr>
          <w:rFonts w:asciiTheme="majorHAnsi" w:hAnsiTheme="majorHAnsi" w:cstheme="majorHAnsi"/>
          <w:sz w:val="19"/>
          <w:szCs w:val="19"/>
        </w:rPr>
        <w:t>difference-in-differences (</w:t>
      </w:r>
      <w:proofErr w:type="spellStart"/>
      <w:r w:rsidRPr="00642AC1">
        <w:rPr>
          <w:rFonts w:asciiTheme="majorHAnsi" w:hAnsiTheme="majorHAnsi" w:cstheme="majorHAnsi"/>
          <w:sz w:val="19"/>
          <w:szCs w:val="19"/>
        </w:rPr>
        <w:t>DiD</w:t>
      </w:r>
      <w:proofErr w:type="spellEnd"/>
      <w:r w:rsidRPr="00642AC1">
        <w:rPr>
          <w:rFonts w:asciiTheme="majorHAnsi" w:hAnsiTheme="majorHAnsi" w:cstheme="majorHAnsi"/>
          <w:sz w:val="19"/>
          <w:szCs w:val="19"/>
        </w:rPr>
        <w:t>).</w:t>
      </w:r>
    </w:p>
    <w:p w14:paraId="034665BE" w14:textId="77777777" w:rsidR="0043177E" w:rsidRPr="00642AC1" w:rsidRDefault="00000000">
      <w:pPr>
        <w:pBdr>
          <w:bottom w:val="single" w:sz="4" w:space="2" w:color="2A9D8F"/>
        </w:pBdr>
        <w:spacing w:before="240" w:after="8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6"/>
          <w:szCs w:val="26"/>
        </w:rPr>
        <w:t>2. Data</w:t>
      </w:r>
    </w:p>
    <w:p w14:paraId="3EB9D22F" w14:textId="2AE1A02E"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 xml:space="preserve">Match-level data </w:t>
      </w:r>
      <w:r w:rsidR="00945AFB">
        <w:rPr>
          <w:rFonts w:asciiTheme="majorHAnsi" w:hAnsiTheme="majorHAnsi" w:cstheme="majorHAnsi"/>
          <w:sz w:val="19"/>
          <w:szCs w:val="19"/>
        </w:rPr>
        <w:t>was</w:t>
      </w:r>
      <w:r w:rsidRPr="00642AC1">
        <w:rPr>
          <w:rFonts w:asciiTheme="majorHAnsi" w:hAnsiTheme="majorHAnsi" w:cstheme="majorHAnsi"/>
          <w:sz w:val="19"/>
          <w:szCs w:val="19"/>
        </w:rPr>
        <w:t xml:space="preserve"> </w:t>
      </w:r>
      <w:r w:rsidR="00945AFB">
        <w:rPr>
          <w:rFonts w:asciiTheme="majorHAnsi" w:hAnsiTheme="majorHAnsi" w:cstheme="majorHAnsi"/>
          <w:sz w:val="19"/>
          <w:szCs w:val="19"/>
        </w:rPr>
        <w:t>extracted</w:t>
      </w:r>
      <w:r w:rsidRPr="00642AC1">
        <w:rPr>
          <w:rFonts w:asciiTheme="majorHAnsi" w:hAnsiTheme="majorHAnsi" w:cstheme="majorHAnsi"/>
          <w:sz w:val="19"/>
          <w:szCs w:val="19"/>
        </w:rPr>
        <w:t xml:space="preserve"> for all league matches across the Bundesliga, Ligue 1, and Premier League from the 2014/15 to the 2024/25 season, yielding 11,475 observations after dropping two matches with missing disciplinary records. The dataset, sourced from football-data.co.uk, records for each match: home and away team identities, red cards (HR, AR), fouls (HF, AF), yellow cards (HY, AY), match result, and date.</w:t>
      </w:r>
      <w:r w:rsidR="00945AFB">
        <w:rPr>
          <w:rFonts w:asciiTheme="majorHAnsi" w:hAnsiTheme="majorHAnsi" w:cstheme="majorHAnsi"/>
          <w:sz w:val="19"/>
          <w:szCs w:val="19"/>
        </w:rPr>
        <w:t xml:space="preserve"> The data was available as individual csv files for each league across each season. These csv files were collated, and the irrelevant columns dropped (such as </w:t>
      </w:r>
      <w:r w:rsidR="00945AFB" w:rsidRPr="00945AFB">
        <w:rPr>
          <w:rFonts w:asciiTheme="majorHAnsi" w:hAnsiTheme="majorHAnsi" w:cstheme="majorHAnsi"/>
          <w:sz w:val="19"/>
          <w:szCs w:val="19"/>
        </w:rPr>
        <w:t>Home Team Hit Woodwork</w:t>
      </w:r>
      <w:r w:rsidR="00945AFB">
        <w:rPr>
          <w:rFonts w:asciiTheme="majorHAnsi" w:hAnsiTheme="majorHAnsi" w:cstheme="majorHAnsi"/>
          <w:sz w:val="19"/>
          <w:szCs w:val="19"/>
        </w:rPr>
        <w:t xml:space="preserve">, </w:t>
      </w:r>
      <w:r w:rsidR="00945AFB" w:rsidRPr="00945AFB">
        <w:rPr>
          <w:rFonts w:asciiTheme="majorHAnsi" w:hAnsiTheme="majorHAnsi" w:cstheme="majorHAnsi"/>
          <w:sz w:val="19"/>
          <w:szCs w:val="19"/>
        </w:rPr>
        <w:t>Bet365 home win odds</w:t>
      </w:r>
      <w:r w:rsidR="00945AFB">
        <w:rPr>
          <w:rFonts w:asciiTheme="majorHAnsi" w:hAnsiTheme="majorHAnsi" w:cstheme="majorHAnsi"/>
          <w:sz w:val="19"/>
          <w:szCs w:val="19"/>
        </w:rPr>
        <w:t xml:space="preserve">, </w:t>
      </w:r>
      <w:r w:rsidR="00945AFB" w:rsidRPr="00945AFB">
        <w:rPr>
          <w:rFonts w:asciiTheme="majorHAnsi" w:hAnsiTheme="majorHAnsi" w:cstheme="majorHAnsi"/>
          <w:sz w:val="19"/>
          <w:szCs w:val="19"/>
        </w:rPr>
        <w:t>Half Time Result</w:t>
      </w:r>
      <w:r w:rsidR="00945AFB">
        <w:rPr>
          <w:rFonts w:asciiTheme="majorHAnsi" w:hAnsiTheme="majorHAnsi" w:cstheme="majorHAnsi"/>
          <w:sz w:val="19"/>
          <w:szCs w:val="19"/>
        </w:rPr>
        <w:t>). This was primarily done through Power Query. Once each league data was consolidated, they were collated in what was called a Master Data file. One main transformation added was the weight assigned to yellow card as 1 and red card as 2 to create a total cards column.</w:t>
      </w:r>
    </w:p>
    <w:p w14:paraId="79C13CB3" w14:textId="35D13222"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 xml:space="preserve">The outcome variable </w:t>
      </w:r>
      <w:r w:rsidR="00915C6A">
        <w:rPr>
          <w:rFonts w:asciiTheme="majorHAnsi" w:hAnsiTheme="majorHAnsi" w:cstheme="majorHAnsi"/>
          <w:sz w:val="19"/>
          <w:szCs w:val="19"/>
        </w:rPr>
        <w:t>(</w:t>
      </w:r>
      <w:r w:rsidRPr="00642AC1">
        <w:rPr>
          <w:rFonts w:asciiTheme="majorHAnsi" w:hAnsiTheme="majorHAnsi" w:cstheme="majorHAnsi"/>
          <w:sz w:val="19"/>
          <w:szCs w:val="19"/>
        </w:rPr>
        <w:t>Y</w:t>
      </w:r>
      <w:r w:rsidR="00915C6A">
        <w:rPr>
          <w:rFonts w:asciiTheme="majorHAnsi" w:hAnsiTheme="majorHAnsi" w:cstheme="majorHAnsi"/>
          <w:sz w:val="19"/>
          <w:szCs w:val="19"/>
        </w:rPr>
        <w:t>)</w:t>
      </w:r>
      <w:r w:rsidRPr="00642AC1">
        <w:rPr>
          <w:rFonts w:asciiTheme="majorHAnsi" w:hAnsiTheme="majorHAnsi" w:cstheme="majorHAnsi"/>
          <w:sz w:val="19"/>
          <w:szCs w:val="19"/>
        </w:rPr>
        <w:t xml:space="preserve"> is total red cards per match (H</w:t>
      </w:r>
      <w:r w:rsidR="00915C6A">
        <w:rPr>
          <w:rFonts w:asciiTheme="majorHAnsi" w:hAnsiTheme="majorHAnsi" w:cstheme="majorHAnsi"/>
          <w:sz w:val="19"/>
          <w:szCs w:val="19"/>
        </w:rPr>
        <w:t>ome red, H</w:t>
      </w:r>
      <w:r w:rsidRPr="00642AC1">
        <w:rPr>
          <w:rFonts w:asciiTheme="majorHAnsi" w:hAnsiTheme="majorHAnsi" w:cstheme="majorHAnsi"/>
          <w:sz w:val="19"/>
          <w:szCs w:val="19"/>
        </w:rPr>
        <w:t>R</w:t>
      </w:r>
      <w:r w:rsidR="00915C6A">
        <w:rPr>
          <w:rFonts w:asciiTheme="majorHAnsi" w:hAnsiTheme="majorHAnsi" w:cstheme="majorHAnsi"/>
          <w:sz w:val="19"/>
          <w:szCs w:val="19"/>
        </w:rPr>
        <w:t>,</w:t>
      </w:r>
      <w:r w:rsidRPr="00642AC1">
        <w:rPr>
          <w:rFonts w:asciiTheme="majorHAnsi" w:hAnsiTheme="majorHAnsi" w:cstheme="majorHAnsi"/>
          <w:sz w:val="19"/>
          <w:szCs w:val="19"/>
        </w:rPr>
        <w:t xml:space="preserve"> + </w:t>
      </w:r>
      <w:r w:rsidR="00915C6A">
        <w:rPr>
          <w:rFonts w:asciiTheme="majorHAnsi" w:hAnsiTheme="majorHAnsi" w:cstheme="majorHAnsi"/>
          <w:sz w:val="19"/>
          <w:szCs w:val="19"/>
        </w:rPr>
        <w:t xml:space="preserve">Away red, </w:t>
      </w:r>
      <w:r w:rsidRPr="00642AC1">
        <w:rPr>
          <w:rFonts w:asciiTheme="majorHAnsi" w:hAnsiTheme="majorHAnsi" w:cstheme="majorHAnsi"/>
          <w:sz w:val="19"/>
          <w:szCs w:val="19"/>
        </w:rPr>
        <w:t>AR), a count variable with mean 0.176 and approximately 84% of matches record</w:t>
      </w:r>
      <w:r w:rsidR="00915C6A">
        <w:rPr>
          <w:rFonts w:asciiTheme="majorHAnsi" w:hAnsiTheme="majorHAnsi" w:cstheme="majorHAnsi"/>
          <w:sz w:val="19"/>
          <w:szCs w:val="19"/>
        </w:rPr>
        <w:t>ed</w:t>
      </w:r>
      <w:r w:rsidRPr="00642AC1">
        <w:rPr>
          <w:rFonts w:asciiTheme="majorHAnsi" w:hAnsiTheme="majorHAnsi" w:cstheme="majorHAnsi"/>
          <w:sz w:val="19"/>
          <w:szCs w:val="19"/>
        </w:rPr>
        <w:t xml:space="preserve"> no red card. The treatment variable VAR is binary: 1 for all matches played from the season of each league's VAR adoption onwards. Total fouls and total yellow cards per match are included as controls, proxying for match intensity and refereeing style.</w:t>
      </w:r>
    </w:p>
    <w:p w14:paraId="054297E4" w14:textId="77777777" w:rsidR="0043177E" w:rsidRPr="00642AC1" w:rsidRDefault="00000000">
      <w:pPr>
        <w:spacing w:before="160" w:after="6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2"/>
          <w:szCs w:val="22"/>
        </w:rPr>
        <w:t>Summary Statistics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0"/>
        <w:gridCol w:w="1067"/>
        <w:gridCol w:w="1067"/>
        <w:gridCol w:w="1067"/>
        <w:gridCol w:w="1067"/>
        <w:gridCol w:w="1067"/>
        <w:gridCol w:w="1067"/>
      </w:tblGrid>
      <w:tr w:rsidR="0043177E" w:rsidRPr="00642AC1" w14:paraId="6B4D6543" w14:textId="77777777" w:rsidTr="00642AC1">
        <w:tblPrEx>
          <w:tblCellMar>
            <w:top w:w="0" w:type="dxa"/>
            <w:bottom w:w="0" w:type="dxa"/>
          </w:tblCellMar>
        </w:tblPrEx>
        <w:tc>
          <w:tcPr>
            <w:tcW w:w="3012"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66C9B8DA"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Variable</w:t>
            </w:r>
          </w:p>
        </w:tc>
        <w:tc>
          <w:tcPr>
            <w:tcW w:w="1067"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63C577C8"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N</w:t>
            </w:r>
          </w:p>
        </w:tc>
        <w:tc>
          <w:tcPr>
            <w:tcW w:w="1067"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299125C6"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Mean</w:t>
            </w:r>
          </w:p>
        </w:tc>
        <w:tc>
          <w:tcPr>
            <w:tcW w:w="1067"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4062E8E8"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Std</w:t>
            </w:r>
          </w:p>
        </w:tc>
        <w:tc>
          <w:tcPr>
            <w:tcW w:w="1067"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2D8DED2A"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Min</w:t>
            </w:r>
          </w:p>
        </w:tc>
        <w:tc>
          <w:tcPr>
            <w:tcW w:w="1067"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38D038C7"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Median</w:t>
            </w:r>
          </w:p>
        </w:tc>
        <w:tc>
          <w:tcPr>
            <w:tcW w:w="1067"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271EFFF0"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Max</w:t>
            </w:r>
          </w:p>
        </w:tc>
      </w:tr>
      <w:tr w:rsidR="0043177E" w:rsidRPr="00642AC1" w14:paraId="2EAD8ECF" w14:textId="77777777">
        <w:tblPrEx>
          <w:tblCellMar>
            <w:top w:w="0" w:type="dxa"/>
            <w:bottom w:w="0" w:type="dxa"/>
          </w:tblCellMar>
        </w:tblPrEx>
        <w:tc>
          <w:tcPr>
            <w:tcW w:w="3012"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1332BBB2" w14:textId="77777777" w:rsidR="0043177E" w:rsidRPr="00642AC1" w:rsidRDefault="00000000">
            <w:pPr>
              <w:rPr>
                <w:rFonts w:asciiTheme="majorHAnsi" w:hAnsiTheme="majorHAnsi" w:cstheme="majorHAnsi"/>
              </w:rPr>
            </w:pPr>
            <w:r w:rsidRPr="00642AC1">
              <w:rPr>
                <w:rFonts w:asciiTheme="majorHAnsi" w:hAnsiTheme="majorHAnsi" w:cstheme="majorHAnsi"/>
                <w:color w:val="000000"/>
                <w:sz w:val="18"/>
                <w:szCs w:val="18"/>
              </w:rPr>
              <w:t>Red cards / match</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1C5754FD"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11,475</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5D641FA9"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0.176</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651F879C"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0.435</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05A2571F"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3FF505DF"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35EF0C09"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5.0</w:t>
            </w:r>
          </w:p>
        </w:tc>
      </w:tr>
      <w:tr w:rsidR="0043177E" w:rsidRPr="00642AC1" w14:paraId="7D39CDD7" w14:textId="77777777">
        <w:tblPrEx>
          <w:tblCellMar>
            <w:top w:w="0" w:type="dxa"/>
            <w:bottom w:w="0" w:type="dxa"/>
          </w:tblCellMar>
        </w:tblPrEx>
        <w:tc>
          <w:tcPr>
            <w:tcW w:w="3012"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534C775C" w14:textId="77777777" w:rsidR="0043177E" w:rsidRPr="00642AC1" w:rsidRDefault="00000000">
            <w:pPr>
              <w:rPr>
                <w:rFonts w:asciiTheme="majorHAnsi" w:hAnsiTheme="majorHAnsi" w:cstheme="majorHAnsi"/>
              </w:rPr>
            </w:pPr>
            <w:r w:rsidRPr="00642AC1">
              <w:rPr>
                <w:rFonts w:asciiTheme="majorHAnsi" w:hAnsiTheme="majorHAnsi" w:cstheme="majorHAnsi"/>
                <w:color w:val="000000"/>
                <w:sz w:val="18"/>
                <w:szCs w:val="18"/>
              </w:rPr>
              <w:t>Fouls / match</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378BEE4C"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11,475</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0E41A657"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23.97</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07970B16"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6.15</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4890F64D"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5.0</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7C45C15C"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24.0</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1B17DB03"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54.0</w:t>
            </w:r>
          </w:p>
        </w:tc>
      </w:tr>
      <w:tr w:rsidR="0043177E" w:rsidRPr="00642AC1" w14:paraId="5DF9F3B3" w14:textId="77777777">
        <w:tblPrEx>
          <w:tblCellMar>
            <w:top w:w="0" w:type="dxa"/>
            <w:bottom w:w="0" w:type="dxa"/>
          </w:tblCellMar>
        </w:tblPrEx>
        <w:tc>
          <w:tcPr>
            <w:tcW w:w="3012"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2D9AA373" w14:textId="77777777" w:rsidR="0043177E" w:rsidRPr="00642AC1" w:rsidRDefault="00000000">
            <w:pPr>
              <w:rPr>
                <w:rFonts w:asciiTheme="majorHAnsi" w:hAnsiTheme="majorHAnsi" w:cstheme="majorHAnsi"/>
              </w:rPr>
            </w:pPr>
            <w:r w:rsidRPr="00642AC1">
              <w:rPr>
                <w:rFonts w:asciiTheme="majorHAnsi" w:hAnsiTheme="majorHAnsi" w:cstheme="majorHAnsi"/>
                <w:color w:val="000000"/>
                <w:sz w:val="18"/>
                <w:szCs w:val="18"/>
              </w:rPr>
              <w:t>Yellows / match</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207D2D73"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11,475</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7D4550DE"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3.620</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673C4869"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1.97</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0EB2D66A"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7DD8540E"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3.0</w:t>
            </w:r>
          </w:p>
        </w:tc>
        <w:tc>
          <w:tcPr>
            <w:tcW w:w="1067"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6F1D9C16"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14.0</w:t>
            </w:r>
          </w:p>
        </w:tc>
      </w:tr>
      <w:tr w:rsidR="0043177E" w:rsidRPr="00642AC1" w14:paraId="64F6B44A" w14:textId="77777777">
        <w:tblPrEx>
          <w:tblCellMar>
            <w:top w:w="0" w:type="dxa"/>
            <w:bottom w:w="0" w:type="dxa"/>
          </w:tblCellMar>
        </w:tblPrEx>
        <w:tc>
          <w:tcPr>
            <w:tcW w:w="3012"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5906EFAB" w14:textId="77777777" w:rsidR="0043177E" w:rsidRPr="00642AC1" w:rsidRDefault="00000000">
            <w:pPr>
              <w:rPr>
                <w:rFonts w:asciiTheme="majorHAnsi" w:hAnsiTheme="majorHAnsi" w:cstheme="majorHAnsi"/>
              </w:rPr>
            </w:pPr>
            <w:r w:rsidRPr="00642AC1">
              <w:rPr>
                <w:rFonts w:asciiTheme="majorHAnsi" w:hAnsiTheme="majorHAnsi" w:cstheme="majorHAnsi"/>
                <w:color w:val="000000"/>
                <w:sz w:val="18"/>
                <w:szCs w:val="18"/>
              </w:rPr>
              <w:t>VAR (0/1)</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7A25648F"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11,475</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078FC24E"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0.622</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311DE3A8"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0.485</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62B37C25"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1AAE88A9"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1.0</w:t>
            </w:r>
          </w:p>
        </w:tc>
        <w:tc>
          <w:tcPr>
            <w:tcW w:w="1067"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34BD807B"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1.0</w:t>
            </w:r>
          </w:p>
        </w:tc>
      </w:tr>
    </w:tbl>
    <w:p w14:paraId="676F7144" w14:textId="77777777" w:rsidR="0043177E" w:rsidRPr="00642AC1" w:rsidRDefault="00000000">
      <w:pPr>
        <w:spacing w:before="60" w:after="160"/>
        <w:jc w:val="center"/>
        <w:rPr>
          <w:rFonts w:asciiTheme="majorHAnsi" w:hAnsiTheme="majorHAnsi" w:cstheme="majorHAnsi"/>
        </w:rPr>
      </w:pPr>
      <w:r w:rsidRPr="00642AC1">
        <w:rPr>
          <w:rFonts w:asciiTheme="majorHAnsi" w:hAnsiTheme="majorHAnsi" w:cstheme="majorHAnsi"/>
          <w:i/>
          <w:iCs/>
          <w:color w:val="555555"/>
          <w:sz w:val="17"/>
          <w:szCs w:val="17"/>
        </w:rPr>
        <w:t xml:space="preserve">Table 1: Summary statistics. Pre-VAR mean red cards/match = 0.181; </w:t>
      </w:r>
      <w:proofErr w:type="gramStart"/>
      <w:r w:rsidRPr="00642AC1">
        <w:rPr>
          <w:rFonts w:asciiTheme="majorHAnsi" w:hAnsiTheme="majorHAnsi" w:cstheme="majorHAnsi"/>
          <w:i/>
          <w:iCs/>
          <w:color w:val="555555"/>
          <w:sz w:val="17"/>
          <w:szCs w:val="17"/>
        </w:rPr>
        <w:t>Post-VAR</w:t>
      </w:r>
      <w:proofErr w:type="gramEnd"/>
      <w:r w:rsidRPr="00642AC1">
        <w:rPr>
          <w:rFonts w:asciiTheme="majorHAnsi" w:hAnsiTheme="majorHAnsi" w:cstheme="majorHAnsi"/>
          <w:i/>
          <w:iCs/>
          <w:color w:val="555555"/>
          <w:sz w:val="17"/>
          <w:szCs w:val="17"/>
        </w:rPr>
        <w:t xml:space="preserve"> = 0.172. 98 unique teams across all three leagues.</w:t>
      </w:r>
    </w:p>
    <w:p w14:paraId="39593D9B" w14:textId="644657F0"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lastRenderedPageBreak/>
        <w:t xml:space="preserve">Football seasons </w:t>
      </w:r>
      <w:r w:rsidR="00915C6A">
        <w:rPr>
          <w:rFonts w:asciiTheme="majorHAnsi" w:hAnsiTheme="majorHAnsi" w:cstheme="majorHAnsi"/>
          <w:sz w:val="19"/>
          <w:szCs w:val="19"/>
        </w:rPr>
        <w:t xml:space="preserve">are </w:t>
      </w:r>
      <w:r w:rsidRPr="00642AC1">
        <w:rPr>
          <w:rFonts w:asciiTheme="majorHAnsi" w:hAnsiTheme="majorHAnsi" w:cstheme="majorHAnsi"/>
          <w:sz w:val="19"/>
          <w:szCs w:val="19"/>
        </w:rPr>
        <w:t>defined by its August start year (</w:t>
      </w:r>
      <w:proofErr w:type="gramStart"/>
      <w:r w:rsidRPr="00642AC1">
        <w:rPr>
          <w:rFonts w:asciiTheme="majorHAnsi" w:hAnsiTheme="majorHAnsi" w:cstheme="majorHAnsi"/>
          <w:sz w:val="19"/>
          <w:szCs w:val="19"/>
        </w:rPr>
        <w:t>e.g.</w:t>
      </w:r>
      <w:proofErr w:type="gramEnd"/>
      <w:r w:rsidRPr="00642AC1">
        <w:rPr>
          <w:rFonts w:asciiTheme="majorHAnsi" w:hAnsiTheme="majorHAnsi" w:cstheme="majorHAnsi"/>
          <w:sz w:val="19"/>
          <w:szCs w:val="19"/>
        </w:rPr>
        <w:t xml:space="preserve"> 2019/20 starts in August 2019). Team fixed effects are constructed from the </w:t>
      </w:r>
      <w:proofErr w:type="spellStart"/>
      <w:r w:rsidRPr="00642AC1">
        <w:rPr>
          <w:rFonts w:asciiTheme="majorHAnsi" w:hAnsiTheme="majorHAnsi" w:cstheme="majorHAnsi"/>
          <w:sz w:val="19"/>
          <w:szCs w:val="19"/>
        </w:rPr>
        <w:t>HomeTeam</w:t>
      </w:r>
      <w:proofErr w:type="spellEnd"/>
      <w:r w:rsidRPr="00642AC1">
        <w:rPr>
          <w:rFonts w:asciiTheme="majorHAnsi" w:hAnsiTheme="majorHAnsi" w:cstheme="majorHAnsi"/>
          <w:sz w:val="19"/>
          <w:szCs w:val="19"/>
        </w:rPr>
        <w:t xml:space="preserve"> and </w:t>
      </w:r>
      <w:proofErr w:type="spellStart"/>
      <w:r w:rsidRPr="00642AC1">
        <w:rPr>
          <w:rFonts w:asciiTheme="majorHAnsi" w:hAnsiTheme="majorHAnsi" w:cstheme="majorHAnsi"/>
          <w:sz w:val="19"/>
          <w:szCs w:val="19"/>
        </w:rPr>
        <w:t>AwayTeam</w:t>
      </w:r>
      <w:proofErr w:type="spellEnd"/>
      <w:r w:rsidRPr="00642AC1">
        <w:rPr>
          <w:rFonts w:asciiTheme="majorHAnsi" w:hAnsiTheme="majorHAnsi" w:cstheme="majorHAnsi"/>
          <w:sz w:val="19"/>
          <w:szCs w:val="19"/>
        </w:rPr>
        <w:t xml:space="preserve"> columns </w:t>
      </w:r>
      <w:r w:rsidR="00570D37" w:rsidRPr="00642AC1">
        <w:rPr>
          <w:rFonts w:asciiTheme="majorHAnsi" w:hAnsiTheme="majorHAnsi" w:cstheme="majorHAnsi"/>
          <w:sz w:val="19"/>
          <w:szCs w:val="19"/>
        </w:rPr>
        <w:t>(</w:t>
      </w:r>
      <w:r w:rsidRPr="00642AC1">
        <w:rPr>
          <w:rFonts w:asciiTheme="majorHAnsi" w:hAnsiTheme="majorHAnsi" w:cstheme="majorHAnsi"/>
          <w:sz w:val="19"/>
          <w:szCs w:val="19"/>
        </w:rPr>
        <w:t>two separate sets of dummies across 98 unique teams</w:t>
      </w:r>
      <w:r w:rsidR="00570D37" w:rsidRPr="00642AC1">
        <w:rPr>
          <w:rFonts w:asciiTheme="majorHAnsi" w:hAnsiTheme="majorHAnsi" w:cstheme="majorHAnsi"/>
          <w:sz w:val="19"/>
          <w:szCs w:val="19"/>
        </w:rPr>
        <w:t>)</w:t>
      </w:r>
      <w:r w:rsidRPr="00642AC1">
        <w:rPr>
          <w:rFonts w:asciiTheme="majorHAnsi" w:hAnsiTheme="majorHAnsi" w:cstheme="majorHAnsi"/>
          <w:sz w:val="19"/>
          <w:szCs w:val="19"/>
        </w:rPr>
        <w:t xml:space="preserve"> providing </w:t>
      </w:r>
      <w:r w:rsidR="00915C6A">
        <w:rPr>
          <w:rFonts w:asciiTheme="majorHAnsi" w:hAnsiTheme="majorHAnsi" w:cstheme="majorHAnsi"/>
          <w:sz w:val="19"/>
          <w:szCs w:val="19"/>
        </w:rPr>
        <w:t xml:space="preserve">better </w:t>
      </w:r>
      <w:r w:rsidRPr="00642AC1">
        <w:rPr>
          <w:rFonts w:asciiTheme="majorHAnsi" w:hAnsiTheme="majorHAnsi" w:cstheme="majorHAnsi"/>
          <w:sz w:val="19"/>
          <w:szCs w:val="19"/>
        </w:rPr>
        <w:t>than league-level dummies</w:t>
      </w:r>
      <w:r w:rsidR="00915C6A">
        <w:rPr>
          <w:rFonts w:asciiTheme="majorHAnsi" w:hAnsiTheme="majorHAnsi" w:cstheme="majorHAnsi"/>
          <w:sz w:val="19"/>
          <w:szCs w:val="19"/>
        </w:rPr>
        <w:t xml:space="preserve"> (which I initially used and later dropped)</w:t>
      </w:r>
      <w:r w:rsidRPr="00642AC1">
        <w:rPr>
          <w:rFonts w:asciiTheme="majorHAnsi" w:hAnsiTheme="majorHAnsi" w:cstheme="majorHAnsi"/>
          <w:sz w:val="19"/>
          <w:szCs w:val="19"/>
        </w:rPr>
        <w:t xml:space="preserve">, </w:t>
      </w:r>
      <w:r w:rsidR="00915C6A">
        <w:rPr>
          <w:rFonts w:asciiTheme="majorHAnsi" w:hAnsiTheme="majorHAnsi" w:cstheme="majorHAnsi"/>
          <w:sz w:val="19"/>
          <w:szCs w:val="19"/>
        </w:rPr>
        <w:t xml:space="preserve">as they </w:t>
      </w:r>
      <w:r w:rsidRPr="00642AC1">
        <w:rPr>
          <w:rFonts w:asciiTheme="majorHAnsi" w:hAnsiTheme="majorHAnsi" w:cstheme="majorHAnsi"/>
          <w:sz w:val="19"/>
          <w:szCs w:val="19"/>
        </w:rPr>
        <w:t>captur</w:t>
      </w:r>
      <w:r w:rsidR="00915C6A">
        <w:rPr>
          <w:rFonts w:asciiTheme="majorHAnsi" w:hAnsiTheme="majorHAnsi" w:cstheme="majorHAnsi"/>
          <w:sz w:val="19"/>
          <w:szCs w:val="19"/>
        </w:rPr>
        <w:t>e</w:t>
      </w:r>
      <w:r w:rsidRPr="00642AC1">
        <w:rPr>
          <w:rFonts w:asciiTheme="majorHAnsi" w:hAnsiTheme="majorHAnsi" w:cstheme="majorHAnsi"/>
          <w:sz w:val="19"/>
          <w:szCs w:val="19"/>
        </w:rPr>
        <w:t xml:space="preserve"> team-specific aggression tendencies and referee familiarity.</w:t>
      </w:r>
    </w:p>
    <w:p w14:paraId="2F9D3F79" w14:textId="77777777" w:rsidR="0043177E" w:rsidRPr="00642AC1" w:rsidRDefault="00000000">
      <w:pPr>
        <w:pBdr>
          <w:bottom w:val="single" w:sz="4" w:space="2" w:color="2A9D8F"/>
        </w:pBdr>
        <w:spacing w:before="240" w:after="8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6"/>
          <w:szCs w:val="26"/>
        </w:rPr>
        <w:t>3. Identification Strategy</w:t>
      </w:r>
    </w:p>
    <w:p w14:paraId="3E98C878" w14:textId="60A7D653"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 xml:space="preserve">The staggered rollout of VAR across three leagues with different adoption years creates a natural experiment. </w:t>
      </w:r>
      <w:r w:rsidR="00915C6A">
        <w:rPr>
          <w:rFonts w:asciiTheme="majorHAnsi" w:hAnsiTheme="majorHAnsi" w:cstheme="majorHAnsi"/>
          <w:sz w:val="19"/>
          <w:szCs w:val="19"/>
        </w:rPr>
        <w:t>L</w:t>
      </w:r>
      <w:r w:rsidRPr="00642AC1">
        <w:rPr>
          <w:rFonts w:asciiTheme="majorHAnsi" w:hAnsiTheme="majorHAnsi" w:cstheme="majorHAnsi"/>
          <w:sz w:val="19"/>
          <w:szCs w:val="19"/>
        </w:rPr>
        <w:t xml:space="preserve">eagues that have not yet adopted VAR </w:t>
      </w:r>
      <w:r w:rsidR="00915C6A">
        <w:rPr>
          <w:rFonts w:asciiTheme="majorHAnsi" w:hAnsiTheme="majorHAnsi" w:cstheme="majorHAnsi"/>
          <w:sz w:val="19"/>
          <w:szCs w:val="19"/>
        </w:rPr>
        <w:t xml:space="preserve">at a given time </w:t>
      </w:r>
      <w:r w:rsidRPr="00642AC1">
        <w:rPr>
          <w:rFonts w:asciiTheme="majorHAnsi" w:hAnsiTheme="majorHAnsi" w:cstheme="majorHAnsi"/>
          <w:sz w:val="19"/>
          <w:szCs w:val="19"/>
        </w:rPr>
        <w:t xml:space="preserve">serve as the control group for those that have. The following two-way fixed effects (TWFE) model </w:t>
      </w:r>
      <w:proofErr w:type="gramStart"/>
      <w:r w:rsidRPr="00642AC1">
        <w:rPr>
          <w:rFonts w:asciiTheme="majorHAnsi" w:hAnsiTheme="majorHAnsi" w:cstheme="majorHAnsi"/>
          <w:sz w:val="19"/>
          <w:szCs w:val="19"/>
        </w:rPr>
        <w:t xml:space="preserve">is </w:t>
      </w:r>
      <w:r w:rsidR="00915C6A">
        <w:rPr>
          <w:rFonts w:asciiTheme="majorHAnsi" w:hAnsiTheme="majorHAnsi" w:cstheme="majorHAnsi"/>
          <w:sz w:val="19"/>
          <w:szCs w:val="19"/>
        </w:rPr>
        <w:t>are</w:t>
      </w:r>
      <w:proofErr w:type="gramEnd"/>
      <w:r w:rsidR="00915C6A">
        <w:rPr>
          <w:rFonts w:asciiTheme="majorHAnsi" w:hAnsiTheme="majorHAnsi" w:cstheme="majorHAnsi"/>
          <w:sz w:val="19"/>
          <w:szCs w:val="19"/>
        </w:rPr>
        <w:t xml:space="preserve"> thus </w:t>
      </w:r>
      <w:r w:rsidRPr="00642AC1">
        <w:rPr>
          <w:rFonts w:asciiTheme="majorHAnsi" w:hAnsiTheme="majorHAnsi" w:cstheme="majorHAnsi"/>
          <w:sz w:val="19"/>
          <w:szCs w:val="19"/>
        </w:rPr>
        <w:t>estimated</w:t>
      </w:r>
      <w:r w:rsidR="00915C6A">
        <w:rPr>
          <w:rFonts w:asciiTheme="majorHAnsi" w:hAnsiTheme="majorHAnsi" w:cstheme="majorHAnsi"/>
          <w:sz w:val="19"/>
          <w:szCs w:val="19"/>
        </w:rPr>
        <w:t xml:space="preserve"> as</w:t>
      </w:r>
      <w:r w:rsidRPr="00642AC1">
        <w:rPr>
          <w:rFonts w:asciiTheme="majorHAnsi" w:hAnsiTheme="majorHAnsi" w:cstheme="majorHAnsi"/>
          <w:sz w:val="19"/>
          <w:szCs w:val="19"/>
        </w:rPr>
        <w:t>:</w:t>
      </w:r>
    </w:p>
    <w:p w14:paraId="064F7053" w14:textId="5F9F029D" w:rsidR="0043177E" w:rsidRPr="00915C6A" w:rsidRDefault="00000000">
      <w:pPr>
        <w:spacing w:before="100" w:after="100"/>
        <w:jc w:val="center"/>
        <w:rPr>
          <w:rFonts w:asciiTheme="majorHAnsi" w:hAnsiTheme="majorHAnsi" w:cstheme="majorHAnsi"/>
          <w:sz w:val="22"/>
          <w:szCs w:val="22"/>
        </w:rPr>
      </w:pPr>
      <w:proofErr w:type="spellStart"/>
      <w:r w:rsidRPr="00915C6A">
        <w:rPr>
          <w:rFonts w:asciiTheme="majorHAnsi" w:hAnsiTheme="majorHAnsi" w:cstheme="majorHAnsi"/>
          <w:i/>
          <w:iCs/>
          <w:sz w:val="22"/>
          <w:szCs w:val="22"/>
        </w:rPr>
        <w:t>RedCards</w:t>
      </w:r>
      <w:r w:rsidRPr="00915C6A">
        <w:rPr>
          <w:rFonts w:asciiTheme="majorHAnsi" w:hAnsiTheme="majorHAnsi" w:cstheme="majorHAnsi"/>
          <w:i/>
          <w:iCs/>
          <w:sz w:val="18"/>
          <w:szCs w:val="18"/>
          <w:vertAlign w:val="subscript"/>
        </w:rPr>
        <w:t>mt</w:t>
      </w:r>
      <w:proofErr w:type="spellEnd"/>
      <w:r w:rsidRPr="00915C6A">
        <w:rPr>
          <w:rFonts w:asciiTheme="majorHAnsi" w:hAnsiTheme="majorHAnsi" w:cstheme="majorHAnsi"/>
          <w:sz w:val="22"/>
          <w:szCs w:val="22"/>
        </w:rPr>
        <w:t xml:space="preserve"> = </w:t>
      </w:r>
      <w:r w:rsidR="00915C6A" w:rsidRPr="00915C6A">
        <w:rPr>
          <w:rFonts w:asciiTheme="majorHAnsi" w:hAnsiTheme="majorHAnsi" w:cstheme="majorHAnsi"/>
          <w:sz w:val="22"/>
          <w:szCs w:val="22"/>
        </w:rPr>
        <w:t>β</w:t>
      </w:r>
      <w:r w:rsidRPr="00915C6A">
        <w:rPr>
          <w:rFonts w:asciiTheme="majorHAnsi" w:hAnsiTheme="majorHAnsi" w:cstheme="majorHAnsi"/>
          <w:i/>
          <w:iCs/>
          <w:sz w:val="18"/>
          <w:szCs w:val="18"/>
          <w:vertAlign w:val="subscript"/>
        </w:rPr>
        <w:t>0</w:t>
      </w:r>
      <w:r w:rsidRPr="00915C6A">
        <w:rPr>
          <w:rFonts w:asciiTheme="majorHAnsi" w:hAnsiTheme="majorHAnsi" w:cstheme="majorHAnsi"/>
          <w:sz w:val="22"/>
          <w:szCs w:val="22"/>
        </w:rPr>
        <w:t xml:space="preserve"> + </w:t>
      </w:r>
      <w:r w:rsidR="00915C6A" w:rsidRPr="00915C6A">
        <w:rPr>
          <w:rFonts w:asciiTheme="majorHAnsi" w:hAnsiTheme="majorHAnsi" w:cstheme="majorHAnsi"/>
          <w:sz w:val="22"/>
          <w:szCs w:val="22"/>
        </w:rPr>
        <w:t>β</w:t>
      </w:r>
      <w:r w:rsidR="00915C6A" w:rsidRPr="00915C6A">
        <w:rPr>
          <w:rFonts w:asciiTheme="majorHAnsi" w:hAnsiTheme="majorHAnsi" w:cstheme="majorHAnsi"/>
          <w:i/>
          <w:iCs/>
          <w:sz w:val="18"/>
          <w:szCs w:val="18"/>
          <w:vertAlign w:val="subscript"/>
        </w:rPr>
        <w:t xml:space="preserve"> </w:t>
      </w:r>
      <w:r w:rsidRPr="00915C6A">
        <w:rPr>
          <w:rFonts w:asciiTheme="majorHAnsi" w:hAnsiTheme="majorHAnsi" w:cstheme="majorHAnsi"/>
          <w:i/>
          <w:iCs/>
          <w:sz w:val="18"/>
          <w:szCs w:val="18"/>
          <w:vertAlign w:val="subscript"/>
        </w:rPr>
        <w:t>1</w:t>
      </w:r>
      <w:r w:rsidRPr="00915C6A">
        <w:rPr>
          <w:rFonts w:asciiTheme="majorHAnsi" w:hAnsiTheme="majorHAnsi" w:cstheme="majorHAnsi"/>
          <w:i/>
          <w:iCs/>
          <w:sz w:val="22"/>
          <w:szCs w:val="22"/>
        </w:rPr>
        <w:t xml:space="preserve"> · VAR</w:t>
      </w:r>
      <w:r w:rsidRPr="00915C6A">
        <w:rPr>
          <w:rFonts w:asciiTheme="majorHAnsi" w:hAnsiTheme="majorHAnsi" w:cstheme="majorHAnsi"/>
          <w:i/>
          <w:iCs/>
          <w:sz w:val="18"/>
          <w:szCs w:val="18"/>
          <w:vertAlign w:val="subscript"/>
        </w:rPr>
        <w:t>l</w:t>
      </w:r>
      <w:r w:rsidR="00915C6A">
        <w:rPr>
          <w:rFonts w:asciiTheme="majorHAnsi" w:hAnsiTheme="majorHAnsi" w:cstheme="majorHAnsi"/>
          <w:i/>
          <w:iCs/>
          <w:sz w:val="18"/>
          <w:szCs w:val="18"/>
          <w:vertAlign w:val="subscript"/>
        </w:rPr>
        <w:t xml:space="preserve"> </w:t>
      </w:r>
      <w:r w:rsidRPr="00915C6A">
        <w:rPr>
          <w:rFonts w:asciiTheme="majorHAnsi" w:hAnsiTheme="majorHAnsi" w:cstheme="majorHAnsi"/>
          <w:i/>
          <w:iCs/>
          <w:sz w:val="18"/>
          <w:szCs w:val="18"/>
          <w:vertAlign w:val="subscript"/>
        </w:rPr>
        <w:t>t</w:t>
      </w:r>
      <w:r w:rsidRPr="00915C6A">
        <w:rPr>
          <w:rFonts w:asciiTheme="majorHAnsi" w:hAnsiTheme="majorHAnsi" w:cstheme="majorHAnsi"/>
          <w:sz w:val="22"/>
          <w:szCs w:val="22"/>
        </w:rPr>
        <w:t xml:space="preserve"> + </w:t>
      </w:r>
      <w:r w:rsidR="00915C6A" w:rsidRPr="00915C6A">
        <w:rPr>
          <w:rFonts w:asciiTheme="majorHAnsi" w:hAnsiTheme="majorHAnsi" w:cstheme="majorHAnsi"/>
          <w:sz w:val="22"/>
          <w:szCs w:val="22"/>
        </w:rPr>
        <w:t>β</w:t>
      </w:r>
      <w:r w:rsidR="00915C6A" w:rsidRPr="00915C6A">
        <w:rPr>
          <w:rFonts w:asciiTheme="majorHAnsi" w:hAnsiTheme="majorHAnsi" w:cstheme="majorHAnsi"/>
          <w:i/>
          <w:iCs/>
          <w:sz w:val="18"/>
          <w:szCs w:val="18"/>
          <w:vertAlign w:val="subscript"/>
        </w:rPr>
        <w:t xml:space="preserve"> </w:t>
      </w:r>
      <w:r w:rsidRPr="00915C6A">
        <w:rPr>
          <w:rFonts w:asciiTheme="majorHAnsi" w:hAnsiTheme="majorHAnsi" w:cstheme="majorHAnsi"/>
          <w:i/>
          <w:iCs/>
          <w:sz w:val="18"/>
          <w:szCs w:val="18"/>
          <w:vertAlign w:val="subscript"/>
        </w:rPr>
        <w:t>2</w:t>
      </w:r>
      <w:r w:rsidRPr="00915C6A">
        <w:rPr>
          <w:rFonts w:asciiTheme="majorHAnsi" w:hAnsiTheme="majorHAnsi" w:cstheme="majorHAnsi"/>
          <w:i/>
          <w:iCs/>
          <w:sz w:val="22"/>
          <w:szCs w:val="22"/>
        </w:rPr>
        <w:t xml:space="preserve"> · </w:t>
      </w:r>
      <w:proofErr w:type="spellStart"/>
      <w:r w:rsidRPr="00915C6A">
        <w:rPr>
          <w:rFonts w:asciiTheme="majorHAnsi" w:hAnsiTheme="majorHAnsi" w:cstheme="majorHAnsi"/>
          <w:i/>
          <w:iCs/>
          <w:sz w:val="22"/>
          <w:szCs w:val="22"/>
        </w:rPr>
        <w:t>TotalFouls</w:t>
      </w:r>
      <w:proofErr w:type="spellEnd"/>
      <w:r w:rsidRPr="00915C6A">
        <w:rPr>
          <w:rFonts w:asciiTheme="majorHAnsi" w:hAnsiTheme="majorHAnsi" w:cstheme="majorHAnsi"/>
          <w:i/>
          <w:iCs/>
          <w:sz w:val="22"/>
          <w:szCs w:val="22"/>
        </w:rPr>
        <w:t xml:space="preserve"> + </w:t>
      </w:r>
      <w:r w:rsidR="00915C6A" w:rsidRPr="00915C6A">
        <w:rPr>
          <w:rFonts w:asciiTheme="majorHAnsi" w:hAnsiTheme="majorHAnsi" w:cstheme="majorHAnsi"/>
          <w:sz w:val="22"/>
          <w:szCs w:val="22"/>
        </w:rPr>
        <w:t>β</w:t>
      </w:r>
      <w:r w:rsidR="00915C6A" w:rsidRPr="00915C6A">
        <w:rPr>
          <w:rFonts w:asciiTheme="majorHAnsi" w:hAnsiTheme="majorHAnsi" w:cstheme="majorHAnsi"/>
          <w:i/>
          <w:iCs/>
          <w:sz w:val="18"/>
          <w:szCs w:val="18"/>
          <w:vertAlign w:val="subscript"/>
        </w:rPr>
        <w:t xml:space="preserve"> </w:t>
      </w:r>
      <w:r w:rsidRPr="00915C6A">
        <w:rPr>
          <w:rFonts w:asciiTheme="majorHAnsi" w:hAnsiTheme="majorHAnsi" w:cstheme="majorHAnsi"/>
          <w:i/>
          <w:iCs/>
          <w:sz w:val="18"/>
          <w:szCs w:val="18"/>
          <w:vertAlign w:val="subscript"/>
        </w:rPr>
        <w:t>3</w:t>
      </w:r>
      <w:r w:rsidRPr="00915C6A">
        <w:rPr>
          <w:rFonts w:asciiTheme="majorHAnsi" w:hAnsiTheme="majorHAnsi" w:cstheme="majorHAnsi"/>
          <w:i/>
          <w:iCs/>
          <w:sz w:val="22"/>
          <w:szCs w:val="22"/>
        </w:rPr>
        <w:t xml:space="preserve"> · </w:t>
      </w:r>
      <w:proofErr w:type="spellStart"/>
      <w:r w:rsidRPr="00915C6A">
        <w:rPr>
          <w:rFonts w:asciiTheme="majorHAnsi" w:hAnsiTheme="majorHAnsi" w:cstheme="majorHAnsi"/>
          <w:i/>
          <w:iCs/>
          <w:sz w:val="22"/>
          <w:szCs w:val="22"/>
        </w:rPr>
        <w:t>TotalYellows</w:t>
      </w:r>
      <w:proofErr w:type="spellEnd"/>
      <w:r w:rsidRPr="00915C6A">
        <w:rPr>
          <w:rFonts w:asciiTheme="majorHAnsi" w:hAnsiTheme="majorHAnsi" w:cstheme="majorHAnsi"/>
          <w:i/>
          <w:iCs/>
          <w:sz w:val="22"/>
          <w:szCs w:val="22"/>
        </w:rPr>
        <w:t xml:space="preserve"> + </w:t>
      </w:r>
      <w:r w:rsidR="00915C6A" w:rsidRPr="00915C6A">
        <w:rPr>
          <w:rFonts w:asciiTheme="majorHAnsi" w:hAnsiTheme="majorHAnsi" w:cstheme="majorHAnsi"/>
          <w:i/>
          <w:iCs/>
          <w:sz w:val="22"/>
          <w:szCs w:val="22"/>
        </w:rPr>
        <w:t>α</w:t>
      </w:r>
      <w:r w:rsidR="00915C6A" w:rsidRPr="00915C6A">
        <w:rPr>
          <w:rFonts w:asciiTheme="majorHAnsi" w:hAnsiTheme="majorHAnsi" w:cstheme="majorHAnsi"/>
          <w:i/>
          <w:iCs/>
          <w:sz w:val="18"/>
          <w:szCs w:val="18"/>
          <w:vertAlign w:val="superscript"/>
        </w:rPr>
        <w:t xml:space="preserve"> </w:t>
      </w:r>
      <w:r w:rsidRPr="00915C6A">
        <w:rPr>
          <w:rFonts w:asciiTheme="majorHAnsi" w:hAnsiTheme="majorHAnsi" w:cstheme="majorHAnsi"/>
          <w:i/>
          <w:iCs/>
          <w:sz w:val="18"/>
          <w:szCs w:val="18"/>
          <w:vertAlign w:val="superscript"/>
        </w:rPr>
        <w:t>H</w:t>
      </w:r>
      <w:r w:rsidRPr="00915C6A">
        <w:rPr>
          <w:rFonts w:asciiTheme="majorHAnsi" w:hAnsiTheme="majorHAnsi" w:cstheme="majorHAnsi"/>
          <w:sz w:val="22"/>
          <w:szCs w:val="22"/>
        </w:rPr>
        <w:t xml:space="preserve"> + </w:t>
      </w:r>
      <w:r w:rsidR="00915C6A" w:rsidRPr="00915C6A">
        <w:rPr>
          <w:rFonts w:asciiTheme="majorHAnsi" w:hAnsiTheme="majorHAnsi" w:cstheme="majorHAnsi"/>
          <w:i/>
          <w:iCs/>
          <w:sz w:val="22"/>
          <w:szCs w:val="22"/>
        </w:rPr>
        <w:t>α</w:t>
      </w:r>
      <w:r w:rsidR="00915C6A" w:rsidRPr="00915C6A">
        <w:rPr>
          <w:rFonts w:asciiTheme="majorHAnsi" w:hAnsiTheme="majorHAnsi" w:cstheme="majorHAnsi"/>
          <w:i/>
          <w:iCs/>
          <w:sz w:val="18"/>
          <w:szCs w:val="18"/>
          <w:vertAlign w:val="superscript"/>
        </w:rPr>
        <w:t xml:space="preserve"> </w:t>
      </w:r>
      <w:r w:rsidRPr="00915C6A">
        <w:rPr>
          <w:rFonts w:asciiTheme="majorHAnsi" w:hAnsiTheme="majorHAnsi" w:cstheme="majorHAnsi"/>
          <w:i/>
          <w:iCs/>
          <w:sz w:val="18"/>
          <w:szCs w:val="18"/>
          <w:vertAlign w:val="superscript"/>
        </w:rPr>
        <w:t>A</w:t>
      </w:r>
      <w:r w:rsidRPr="00915C6A">
        <w:rPr>
          <w:rFonts w:asciiTheme="majorHAnsi" w:hAnsiTheme="majorHAnsi" w:cstheme="majorHAnsi"/>
          <w:sz w:val="22"/>
          <w:szCs w:val="22"/>
        </w:rPr>
        <w:t xml:space="preserve"> + </w:t>
      </w:r>
      <w:proofErr w:type="spellStart"/>
      <w:r w:rsidR="00915C6A" w:rsidRPr="00915C6A">
        <w:rPr>
          <w:rFonts w:asciiTheme="majorHAnsi" w:hAnsiTheme="majorHAnsi" w:cstheme="majorHAnsi"/>
          <w:sz w:val="22"/>
          <w:szCs w:val="22"/>
        </w:rPr>
        <w:t>γ</w:t>
      </w:r>
      <w:r w:rsidRPr="00915C6A">
        <w:rPr>
          <w:rFonts w:asciiTheme="majorHAnsi" w:hAnsiTheme="majorHAnsi" w:cstheme="majorHAnsi"/>
          <w:i/>
          <w:iCs/>
          <w:sz w:val="18"/>
          <w:szCs w:val="18"/>
          <w:vertAlign w:val="subscript"/>
        </w:rPr>
        <w:t>t</w:t>
      </w:r>
      <w:proofErr w:type="spellEnd"/>
      <w:r w:rsidRPr="00915C6A">
        <w:rPr>
          <w:rFonts w:asciiTheme="majorHAnsi" w:hAnsiTheme="majorHAnsi" w:cstheme="majorHAnsi"/>
          <w:i/>
          <w:iCs/>
          <w:sz w:val="22"/>
          <w:szCs w:val="22"/>
        </w:rPr>
        <w:t xml:space="preserve"> + </w:t>
      </w:r>
      <w:proofErr w:type="spellStart"/>
      <w:r w:rsidR="00915C6A" w:rsidRPr="00915C6A">
        <w:rPr>
          <w:rFonts w:asciiTheme="majorHAnsi" w:hAnsiTheme="majorHAnsi" w:cstheme="majorHAnsi"/>
          <w:sz w:val="22"/>
          <w:szCs w:val="22"/>
        </w:rPr>
        <w:t>ε</w:t>
      </w:r>
      <w:r w:rsidRPr="00915C6A">
        <w:rPr>
          <w:rFonts w:asciiTheme="majorHAnsi" w:hAnsiTheme="majorHAnsi" w:cstheme="majorHAnsi"/>
          <w:i/>
          <w:iCs/>
          <w:sz w:val="18"/>
          <w:szCs w:val="18"/>
          <w:vertAlign w:val="subscript"/>
        </w:rPr>
        <w:t>mt</w:t>
      </w:r>
      <w:proofErr w:type="spellEnd"/>
    </w:p>
    <w:p w14:paraId="3094D3A1" w14:textId="0E3F8165"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 xml:space="preserve">where l indexes league, t indexes season, h(m) and a(m) are the home and away teams in match m, </w:t>
      </w:r>
      <w:r w:rsidR="00915C6A">
        <w:rPr>
          <w:rFonts w:asciiTheme="majorHAnsi" w:hAnsiTheme="majorHAnsi" w:cstheme="majorHAnsi"/>
          <w:i/>
          <w:iCs/>
        </w:rPr>
        <w:t>α</w:t>
      </w:r>
      <w:r w:rsidRPr="00915C6A">
        <w:rPr>
          <w:rFonts w:asciiTheme="majorHAnsi" w:hAnsiTheme="majorHAnsi" w:cstheme="majorHAnsi"/>
          <w:sz w:val="19"/>
          <w:szCs w:val="19"/>
          <w:vertAlign w:val="superscript"/>
        </w:rPr>
        <w:t>H</w:t>
      </w:r>
      <w:r w:rsidRPr="00642AC1">
        <w:rPr>
          <w:rFonts w:asciiTheme="majorHAnsi" w:hAnsiTheme="majorHAnsi" w:cstheme="majorHAnsi"/>
          <w:sz w:val="19"/>
          <w:szCs w:val="19"/>
        </w:rPr>
        <w:t xml:space="preserve"> and </w:t>
      </w:r>
      <w:r w:rsidR="00915C6A">
        <w:rPr>
          <w:rFonts w:asciiTheme="majorHAnsi" w:hAnsiTheme="majorHAnsi" w:cstheme="majorHAnsi"/>
          <w:i/>
          <w:iCs/>
        </w:rPr>
        <w:t>α</w:t>
      </w:r>
      <w:r w:rsidR="00915C6A">
        <w:rPr>
          <w:rFonts w:asciiTheme="majorHAnsi" w:hAnsiTheme="majorHAnsi" w:cstheme="majorHAnsi"/>
          <w:sz w:val="19"/>
          <w:szCs w:val="19"/>
          <w:vertAlign w:val="superscript"/>
        </w:rPr>
        <w:t>A</w:t>
      </w:r>
      <w:r w:rsidRPr="00642AC1">
        <w:rPr>
          <w:rFonts w:asciiTheme="majorHAnsi" w:hAnsiTheme="majorHAnsi" w:cstheme="majorHAnsi"/>
          <w:sz w:val="19"/>
          <w:szCs w:val="19"/>
        </w:rPr>
        <w:t xml:space="preserve"> are home- and away-team fixed effects, and </w:t>
      </w:r>
      <w:proofErr w:type="spellStart"/>
      <w:r w:rsidRPr="00642AC1">
        <w:rPr>
          <w:rFonts w:asciiTheme="majorHAnsi" w:hAnsiTheme="majorHAnsi" w:cstheme="majorHAnsi"/>
          <w:sz w:val="19"/>
          <w:szCs w:val="19"/>
        </w:rPr>
        <w:t>γ</w:t>
      </w:r>
      <w:r w:rsidR="00915C6A">
        <w:rPr>
          <w:rFonts w:asciiTheme="majorHAnsi" w:hAnsiTheme="majorHAnsi" w:cstheme="majorHAnsi"/>
          <w:sz w:val="19"/>
          <w:szCs w:val="19"/>
          <w:vertAlign w:val="subscript"/>
        </w:rPr>
        <w:t>t</w:t>
      </w:r>
      <w:proofErr w:type="spellEnd"/>
      <w:r w:rsidRPr="00642AC1">
        <w:rPr>
          <w:rFonts w:asciiTheme="majorHAnsi" w:hAnsiTheme="majorHAnsi" w:cstheme="majorHAnsi"/>
          <w:sz w:val="19"/>
          <w:szCs w:val="19"/>
        </w:rPr>
        <w:t xml:space="preserve"> are season fixed effects. Standard errors are clustered at the team level (</w:t>
      </w:r>
      <w:r w:rsidR="00346AFD">
        <w:rPr>
          <w:rFonts w:asciiTheme="majorHAnsi" w:hAnsiTheme="majorHAnsi" w:cstheme="majorHAnsi"/>
          <w:sz w:val="19"/>
          <w:szCs w:val="19"/>
        </w:rPr>
        <w:t>N</w:t>
      </w:r>
      <w:r w:rsidRPr="00642AC1">
        <w:rPr>
          <w:rFonts w:asciiTheme="majorHAnsi" w:hAnsiTheme="majorHAnsi" w:cstheme="majorHAnsi"/>
          <w:sz w:val="19"/>
          <w:szCs w:val="19"/>
        </w:rPr>
        <w:t>=98), capturing within-team serial correlation across seasons. Since VAR is assigned at the league level, this may slightly understate true standard errors; results should be interpreted accordingly.</w:t>
      </w:r>
    </w:p>
    <w:p w14:paraId="58879929" w14:textId="35FE0624" w:rsidR="0043177E" w:rsidRDefault="00000000">
      <w:pPr>
        <w:spacing w:after="100" w:line="280" w:lineRule="auto"/>
        <w:jc w:val="both"/>
        <w:rPr>
          <w:rFonts w:asciiTheme="majorHAnsi" w:hAnsiTheme="majorHAnsi" w:cstheme="majorHAnsi"/>
          <w:sz w:val="19"/>
          <w:szCs w:val="19"/>
        </w:rPr>
      </w:pPr>
      <w:r w:rsidRPr="00642AC1">
        <w:rPr>
          <w:rFonts w:asciiTheme="majorHAnsi" w:hAnsiTheme="majorHAnsi" w:cstheme="majorHAnsi"/>
          <w:sz w:val="19"/>
          <w:szCs w:val="19"/>
        </w:rPr>
        <w:t>The key identifying assumption is parallel trends: absent VAR, red card rates would have evolved similarly across leagues. Figure 1 plots average red cards by season relative to each league's adoption date. Pre-adoption trends (t = -4 to t = -1) are broadly flat and overlapping, providing visual support for parallel trends.</w:t>
      </w:r>
      <w:r w:rsidR="00346AFD">
        <w:rPr>
          <w:rFonts w:asciiTheme="majorHAnsi" w:hAnsiTheme="majorHAnsi" w:cstheme="majorHAnsi"/>
          <w:sz w:val="19"/>
          <w:szCs w:val="19"/>
        </w:rPr>
        <w:t xml:space="preserve"> It is important to note that the Bundesliga starts at t=-3 as the beginning of the dataset used is available till then relative to the adoption of VAR in the respective league.</w:t>
      </w:r>
    </w:p>
    <w:p w14:paraId="671DFC14" w14:textId="77777777" w:rsidR="008878BB" w:rsidRPr="00642AC1" w:rsidRDefault="008878BB">
      <w:pPr>
        <w:spacing w:after="100" w:line="280" w:lineRule="auto"/>
        <w:jc w:val="both"/>
        <w:rPr>
          <w:rFonts w:asciiTheme="majorHAnsi" w:hAnsiTheme="majorHAnsi" w:cstheme="majorHAnsi"/>
        </w:rPr>
      </w:pPr>
    </w:p>
    <w:p w14:paraId="081E25C0" w14:textId="64DE9C1F" w:rsidR="0043177E" w:rsidRPr="00642AC1" w:rsidRDefault="008878BB" w:rsidP="00346AFD">
      <w:pPr>
        <w:spacing w:after="60"/>
        <w:jc w:val="center"/>
        <w:rPr>
          <w:rFonts w:asciiTheme="majorHAnsi" w:hAnsiTheme="majorHAnsi" w:cstheme="majorHAnsi"/>
        </w:rPr>
      </w:pPr>
      <w:r w:rsidRPr="008878BB">
        <w:rPr>
          <w:rFonts w:asciiTheme="majorHAnsi" w:hAnsiTheme="majorHAnsi" w:cstheme="majorHAnsi"/>
        </w:rPr>
        <w:drawing>
          <wp:inline distT="0" distB="0" distL="0" distR="0" wp14:anchorId="1762433B" wp14:editId="5AF36FCB">
            <wp:extent cx="5120640" cy="2275780"/>
            <wp:effectExtent l="0" t="0" r="3810" b="0"/>
            <wp:docPr id="1415632382" name="Picture 1" descr="A graph of red green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32382" name="Picture 1" descr="A graph of red green and blue lines&#10;&#10;Description automatically generated"/>
                    <pic:cNvPicPr/>
                  </pic:nvPicPr>
                  <pic:blipFill>
                    <a:blip r:embed="rId8"/>
                    <a:stretch>
                      <a:fillRect/>
                    </a:stretch>
                  </pic:blipFill>
                  <pic:spPr>
                    <a:xfrm>
                      <a:off x="0" y="0"/>
                      <a:ext cx="5130577" cy="2280196"/>
                    </a:xfrm>
                    <a:prstGeom prst="rect">
                      <a:avLst/>
                    </a:prstGeom>
                  </pic:spPr>
                </pic:pic>
              </a:graphicData>
            </a:graphic>
          </wp:inline>
        </w:drawing>
      </w:r>
    </w:p>
    <w:p w14:paraId="079ADC25" w14:textId="2AED6C63" w:rsidR="0043177E" w:rsidRPr="00642AC1" w:rsidRDefault="00000000">
      <w:pPr>
        <w:spacing w:before="40" w:after="160"/>
        <w:jc w:val="center"/>
        <w:rPr>
          <w:rFonts w:asciiTheme="majorHAnsi" w:hAnsiTheme="majorHAnsi" w:cstheme="majorHAnsi"/>
        </w:rPr>
      </w:pPr>
      <w:r w:rsidRPr="00642AC1">
        <w:rPr>
          <w:rFonts w:asciiTheme="majorHAnsi" w:hAnsiTheme="majorHAnsi" w:cstheme="majorHAnsi"/>
          <w:i/>
          <w:iCs/>
          <w:color w:val="555555"/>
          <w:sz w:val="17"/>
          <w:szCs w:val="17"/>
        </w:rPr>
        <w:t xml:space="preserve">Figure 1: Event study </w:t>
      </w:r>
      <w:r w:rsidR="00570D37" w:rsidRPr="00642AC1">
        <w:rPr>
          <w:rFonts w:asciiTheme="majorHAnsi" w:hAnsiTheme="majorHAnsi" w:cstheme="majorHAnsi"/>
          <w:i/>
          <w:iCs/>
          <w:color w:val="555555"/>
          <w:sz w:val="17"/>
          <w:szCs w:val="17"/>
        </w:rPr>
        <w:t>looks at the</w:t>
      </w:r>
      <w:r w:rsidRPr="00642AC1">
        <w:rPr>
          <w:rFonts w:asciiTheme="majorHAnsi" w:hAnsiTheme="majorHAnsi" w:cstheme="majorHAnsi"/>
          <w:i/>
          <w:iCs/>
          <w:color w:val="555555"/>
          <w:sz w:val="17"/>
          <w:szCs w:val="17"/>
        </w:rPr>
        <w:t xml:space="preserve"> average red cards per match by seasons relative to VAR introduction (t = 0 is the first VAR season). Error bars show 95% CIs. Flat pre-trends support the parallel-trends assumption.</w:t>
      </w:r>
    </w:p>
    <w:p w14:paraId="5AFC1D0E" w14:textId="77777777" w:rsidR="0043177E" w:rsidRPr="00642AC1" w:rsidRDefault="00000000">
      <w:pPr>
        <w:pBdr>
          <w:bottom w:val="single" w:sz="4" w:space="2" w:color="2A9D8F"/>
        </w:pBdr>
        <w:spacing w:before="240" w:after="8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6"/>
          <w:szCs w:val="26"/>
        </w:rPr>
        <w:t>4. Results</w:t>
      </w:r>
    </w:p>
    <w:p w14:paraId="14F382F9" w14:textId="506D4DB7" w:rsidR="0043177E" w:rsidRPr="00642AC1" w:rsidRDefault="00915C6A">
      <w:pPr>
        <w:spacing w:after="100" w:line="280" w:lineRule="auto"/>
        <w:jc w:val="both"/>
        <w:rPr>
          <w:rFonts w:asciiTheme="majorHAnsi" w:hAnsiTheme="majorHAnsi" w:cstheme="majorHAnsi"/>
        </w:rPr>
      </w:pPr>
      <w:r>
        <w:rPr>
          <w:rFonts w:asciiTheme="majorHAnsi" w:hAnsiTheme="majorHAnsi" w:cstheme="majorHAnsi"/>
          <w:sz w:val="19"/>
          <w:szCs w:val="19"/>
        </w:rPr>
        <w:t xml:space="preserve">As seen in the </w:t>
      </w:r>
      <w:r w:rsidR="00000000" w:rsidRPr="00642AC1">
        <w:rPr>
          <w:rFonts w:asciiTheme="majorHAnsi" w:hAnsiTheme="majorHAnsi" w:cstheme="majorHAnsi"/>
          <w:sz w:val="19"/>
          <w:szCs w:val="19"/>
        </w:rPr>
        <w:t xml:space="preserve">Table 2 </w:t>
      </w:r>
      <w:r>
        <w:rPr>
          <w:rFonts w:asciiTheme="majorHAnsi" w:hAnsiTheme="majorHAnsi" w:cstheme="majorHAnsi"/>
          <w:sz w:val="19"/>
          <w:szCs w:val="19"/>
        </w:rPr>
        <w:t xml:space="preserve">below, we see </w:t>
      </w:r>
      <w:r w:rsidR="00000000" w:rsidRPr="00642AC1">
        <w:rPr>
          <w:rFonts w:asciiTheme="majorHAnsi" w:hAnsiTheme="majorHAnsi" w:cstheme="majorHAnsi"/>
          <w:sz w:val="19"/>
          <w:szCs w:val="19"/>
        </w:rPr>
        <w:t xml:space="preserve">the VAR coefficient across four specifications. The pooled estimate is consistently positive across all models </w:t>
      </w:r>
      <w:r w:rsidR="00570D37" w:rsidRPr="00642AC1">
        <w:rPr>
          <w:rFonts w:asciiTheme="majorHAnsi" w:hAnsiTheme="majorHAnsi" w:cstheme="majorHAnsi"/>
          <w:sz w:val="19"/>
          <w:szCs w:val="19"/>
        </w:rPr>
        <w:t>(</w:t>
      </w:r>
      <w:r w:rsidR="00000000" w:rsidRPr="00642AC1">
        <w:rPr>
          <w:rFonts w:asciiTheme="majorHAnsi" w:hAnsiTheme="majorHAnsi" w:cstheme="majorHAnsi"/>
          <w:sz w:val="19"/>
          <w:szCs w:val="19"/>
        </w:rPr>
        <w:t>suggesting VAR leads to slightly more red cards</w:t>
      </w:r>
      <w:r w:rsidR="00570D37" w:rsidRPr="00642AC1">
        <w:rPr>
          <w:rFonts w:asciiTheme="majorHAnsi" w:hAnsiTheme="majorHAnsi" w:cstheme="majorHAnsi"/>
          <w:sz w:val="19"/>
          <w:szCs w:val="19"/>
        </w:rPr>
        <w:t>)</w:t>
      </w:r>
      <w:r w:rsidR="00000000" w:rsidRPr="00642AC1">
        <w:rPr>
          <w:rFonts w:asciiTheme="majorHAnsi" w:hAnsiTheme="majorHAnsi" w:cstheme="majorHAnsi"/>
          <w:sz w:val="19"/>
          <w:szCs w:val="19"/>
        </w:rPr>
        <w:t xml:space="preserve"> but statistically insignificant. The preferred specification (Model 2) yields </w:t>
      </w:r>
      <w:r w:rsidRPr="00915C6A">
        <w:rPr>
          <w:rFonts w:asciiTheme="majorHAnsi" w:hAnsiTheme="majorHAnsi" w:cstheme="majorHAnsi"/>
          <w:sz w:val="22"/>
          <w:szCs w:val="22"/>
        </w:rPr>
        <w:t>β</w:t>
      </w:r>
      <w:r>
        <w:rPr>
          <w:rFonts w:asciiTheme="majorHAnsi" w:hAnsiTheme="majorHAnsi" w:cstheme="majorHAnsi"/>
          <w:sz w:val="19"/>
          <w:szCs w:val="19"/>
          <w:vertAlign w:val="subscript"/>
        </w:rPr>
        <w:t>VAR</w:t>
      </w:r>
      <w:r w:rsidR="00000000" w:rsidRPr="00642AC1">
        <w:rPr>
          <w:rFonts w:asciiTheme="majorHAnsi" w:hAnsiTheme="majorHAnsi" w:cstheme="majorHAnsi"/>
          <w:sz w:val="19"/>
          <w:szCs w:val="19"/>
        </w:rPr>
        <w:t xml:space="preserve">= +0.014 additional red cards per match (SE=0.024, p=0.54), an 8% relative </w:t>
      </w:r>
      <w:r w:rsidRPr="00642AC1">
        <w:rPr>
          <w:rFonts w:asciiTheme="majorHAnsi" w:hAnsiTheme="majorHAnsi" w:cstheme="majorHAnsi"/>
          <w:sz w:val="19"/>
          <w:szCs w:val="19"/>
        </w:rPr>
        <w:t xml:space="preserve">increase </w:t>
      </w:r>
      <w:r w:rsidR="00000000" w:rsidRPr="00642AC1">
        <w:rPr>
          <w:rFonts w:asciiTheme="majorHAnsi" w:hAnsiTheme="majorHAnsi" w:cstheme="majorHAnsi"/>
          <w:sz w:val="19"/>
          <w:szCs w:val="19"/>
        </w:rPr>
        <w:t xml:space="preserve">to the pre-VAR mean of 0.181. Point estimates are unchanged from league-clustered models; the larger </w:t>
      </w:r>
      <w:r>
        <w:rPr>
          <w:rFonts w:asciiTheme="majorHAnsi" w:hAnsiTheme="majorHAnsi" w:cstheme="majorHAnsi"/>
          <w:sz w:val="19"/>
          <w:szCs w:val="19"/>
        </w:rPr>
        <w:t xml:space="preserve">SE </w:t>
      </w:r>
      <w:r w:rsidR="00000000" w:rsidRPr="00642AC1">
        <w:rPr>
          <w:rFonts w:asciiTheme="majorHAnsi" w:hAnsiTheme="majorHAnsi" w:cstheme="majorHAnsi"/>
          <w:sz w:val="19"/>
          <w:szCs w:val="19"/>
        </w:rPr>
        <w:t xml:space="preserve">with </w:t>
      </w:r>
      <w:r>
        <w:rPr>
          <w:rFonts w:asciiTheme="majorHAnsi" w:hAnsiTheme="majorHAnsi" w:cstheme="majorHAnsi"/>
          <w:sz w:val="19"/>
          <w:szCs w:val="19"/>
        </w:rPr>
        <w:t xml:space="preserve">group level of </w:t>
      </w:r>
      <w:r w:rsidR="00346AFD">
        <w:rPr>
          <w:rFonts w:asciiTheme="majorHAnsi" w:hAnsiTheme="majorHAnsi" w:cstheme="majorHAnsi"/>
          <w:sz w:val="19"/>
          <w:szCs w:val="19"/>
        </w:rPr>
        <w:t>N</w:t>
      </w:r>
      <w:r>
        <w:rPr>
          <w:rFonts w:asciiTheme="majorHAnsi" w:hAnsiTheme="majorHAnsi" w:cstheme="majorHAnsi"/>
          <w:sz w:val="19"/>
          <w:szCs w:val="19"/>
        </w:rPr>
        <w:t>=</w:t>
      </w:r>
      <w:r w:rsidR="00000000" w:rsidRPr="00642AC1">
        <w:rPr>
          <w:rFonts w:asciiTheme="majorHAnsi" w:hAnsiTheme="majorHAnsi" w:cstheme="majorHAnsi"/>
          <w:sz w:val="19"/>
          <w:szCs w:val="19"/>
        </w:rPr>
        <w:t xml:space="preserve">98 </w:t>
      </w:r>
      <w:r>
        <w:rPr>
          <w:rFonts w:asciiTheme="majorHAnsi" w:hAnsiTheme="majorHAnsi" w:cstheme="majorHAnsi"/>
          <w:sz w:val="19"/>
          <w:szCs w:val="19"/>
        </w:rPr>
        <w:t xml:space="preserve">(defined by </w:t>
      </w:r>
      <w:r w:rsidR="00000000" w:rsidRPr="00642AC1">
        <w:rPr>
          <w:rFonts w:asciiTheme="majorHAnsi" w:hAnsiTheme="majorHAnsi" w:cstheme="majorHAnsi"/>
          <w:sz w:val="19"/>
          <w:szCs w:val="19"/>
        </w:rPr>
        <w:t>team clusters</w:t>
      </w:r>
      <w:r>
        <w:rPr>
          <w:rFonts w:asciiTheme="majorHAnsi" w:hAnsiTheme="majorHAnsi" w:cstheme="majorHAnsi"/>
          <w:sz w:val="19"/>
          <w:szCs w:val="19"/>
        </w:rPr>
        <w:t>)</w:t>
      </w:r>
      <w:r w:rsidR="00000000" w:rsidRPr="00642AC1">
        <w:rPr>
          <w:rFonts w:asciiTheme="majorHAnsi" w:hAnsiTheme="majorHAnsi" w:cstheme="majorHAnsi"/>
          <w:sz w:val="19"/>
          <w:szCs w:val="19"/>
        </w:rPr>
        <w:t xml:space="preserve"> more accurately reflect the true sampling uncertainty.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2"/>
        <w:gridCol w:w="1035"/>
        <w:gridCol w:w="1035"/>
        <w:gridCol w:w="1129"/>
        <w:gridCol w:w="1129"/>
        <w:gridCol w:w="941"/>
        <w:gridCol w:w="941"/>
      </w:tblGrid>
      <w:tr w:rsidR="0043177E" w:rsidRPr="00642AC1" w14:paraId="49895DC0" w14:textId="77777777" w:rsidTr="00642AC1">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5CF4389D"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Model</w:t>
            </w:r>
          </w:p>
        </w:tc>
        <w:tc>
          <w:tcPr>
            <w:tcW w:w="1035"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202CB4AE" w14:textId="2519399B" w:rsidR="0043177E" w:rsidRPr="00915C6A" w:rsidRDefault="00346AFD">
            <w:pPr>
              <w:jc w:val="center"/>
              <w:rPr>
                <w:rFonts w:asciiTheme="majorHAnsi" w:hAnsiTheme="majorHAnsi" w:cstheme="majorHAnsi"/>
                <w:vertAlign w:val="subscript"/>
              </w:rPr>
            </w:pPr>
            <w:r w:rsidRPr="00346AFD">
              <w:rPr>
                <w:rFonts w:asciiTheme="majorHAnsi" w:hAnsiTheme="majorHAnsi" w:cstheme="majorHAnsi"/>
                <w:b/>
                <w:bCs/>
                <w:color w:val="FFFFFF"/>
                <w:sz w:val="18"/>
                <w:szCs w:val="18"/>
              </w:rPr>
              <w:t>β</w:t>
            </w:r>
            <w:r w:rsidR="00915C6A">
              <w:rPr>
                <w:rFonts w:asciiTheme="majorHAnsi" w:hAnsiTheme="majorHAnsi" w:cstheme="majorHAnsi"/>
                <w:b/>
                <w:bCs/>
                <w:color w:val="FFFFFF"/>
                <w:sz w:val="18"/>
                <w:szCs w:val="18"/>
                <w:vertAlign w:val="subscript"/>
              </w:rPr>
              <w:t>VAR</w:t>
            </w:r>
          </w:p>
        </w:tc>
        <w:tc>
          <w:tcPr>
            <w:tcW w:w="1035"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6E1C4249"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SE</w:t>
            </w:r>
          </w:p>
        </w:tc>
        <w:tc>
          <w:tcPr>
            <w:tcW w:w="1129"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4D27EADF"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p-value</w:t>
            </w:r>
          </w:p>
        </w:tc>
        <w:tc>
          <w:tcPr>
            <w:tcW w:w="1129"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0F6A4CB3"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N</w:t>
            </w:r>
          </w:p>
        </w:tc>
        <w:tc>
          <w:tcPr>
            <w:tcW w:w="941"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7C0D20C7"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Controls</w:t>
            </w:r>
          </w:p>
        </w:tc>
        <w:tc>
          <w:tcPr>
            <w:tcW w:w="941" w:type="dxa"/>
            <w:tcBorders>
              <w:top w:val="none" w:sz="0" w:space="0" w:color="FFFFFF"/>
              <w:left w:val="none" w:sz="0" w:space="0" w:color="FFFFFF"/>
              <w:bottom w:val="none" w:sz="0" w:space="0" w:color="FFFFFF"/>
              <w:right w:val="none" w:sz="0" w:space="0" w:color="FFFFFF"/>
            </w:tcBorders>
            <w:shd w:val="clear" w:color="auto" w:fill="05676C" w:themeFill="accent3" w:themeFillShade="80"/>
            <w:tcMar>
              <w:top w:w="80" w:type="dxa"/>
              <w:left w:w="100" w:type="dxa"/>
              <w:bottom w:w="80" w:type="dxa"/>
              <w:right w:w="100" w:type="dxa"/>
            </w:tcMar>
            <w:vAlign w:val="center"/>
          </w:tcPr>
          <w:p w14:paraId="1EAF6383" w14:textId="77777777" w:rsidR="0043177E" w:rsidRPr="00642AC1" w:rsidRDefault="00000000">
            <w:pPr>
              <w:jc w:val="center"/>
              <w:rPr>
                <w:rFonts w:asciiTheme="majorHAnsi" w:hAnsiTheme="majorHAnsi" w:cstheme="majorHAnsi"/>
              </w:rPr>
            </w:pPr>
            <w:r w:rsidRPr="00642AC1">
              <w:rPr>
                <w:rFonts w:asciiTheme="majorHAnsi" w:hAnsiTheme="majorHAnsi" w:cstheme="majorHAnsi"/>
                <w:b/>
                <w:bCs/>
                <w:color w:val="FFFFFF"/>
                <w:sz w:val="18"/>
                <w:szCs w:val="18"/>
              </w:rPr>
              <w:t>FE</w:t>
            </w:r>
          </w:p>
        </w:tc>
      </w:tr>
      <w:tr w:rsidR="0043177E" w:rsidRPr="00642AC1" w14:paraId="7C1ECB66" w14:textId="77777777">
        <w:tblPrEx>
          <w:tblCellMar>
            <w:top w:w="0" w:type="dxa"/>
            <w:bottom w:w="0" w:type="dxa"/>
          </w:tblCellMar>
        </w:tblPrEx>
        <w:tc>
          <w:tcPr>
            <w:tcW w:w="3200"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35DE5B54" w14:textId="01E5EDBB" w:rsidR="0043177E" w:rsidRPr="00642AC1" w:rsidRDefault="00000000">
            <w:pPr>
              <w:rPr>
                <w:rFonts w:asciiTheme="majorHAnsi" w:hAnsiTheme="majorHAnsi" w:cstheme="majorHAnsi"/>
              </w:rPr>
            </w:pPr>
            <w:r w:rsidRPr="00642AC1">
              <w:rPr>
                <w:rFonts w:asciiTheme="majorHAnsi" w:hAnsiTheme="majorHAnsi" w:cstheme="majorHAnsi"/>
                <w:i/>
                <w:iCs/>
                <w:color w:val="000000"/>
                <w:sz w:val="18"/>
                <w:szCs w:val="18"/>
              </w:rPr>
              <w:t xml:space="preserve">(1) TWFE </w:t>
            </w:r>
            <w:r w:rsidR="00570D37" w:rsidRPr="00642AC1">
              <w:rPr>
                <w:rFonts w:asciiTheme="majorHAnsi" w:hAnsiTheme="majorHAnsi" w:cstheme="majorHAnsi"/>
                <w:i/>
                <w:iCs/>
                <w:color w:val="000000"/>
                <w:sz w:val="18"/>
                <w:szCs w:val="18"/>
              </w:rPr>
              <w:t xml:space="preserve">- </w:t>
            </w:r>
            <w:r w:rsidRPr="00642AC1">
              <w:rPr>
                <w:rFonts w:asciiTheme="majorHAnsi" w:hAnsiTheme="majorHAnsi" w:cstheme="majorHAnsi"/>
                <w:i/>
                <w:iCs/>
                <w:color w:val="000000"/>
                <w:sz w:val="18"/>
                <w:szCs w:val="18"/>
              </w:rPr>
              <w:t>VAR only</w:t>
            </w:r>
          </w:p>
        </w:tc>
        <w:tc>
          <w:tcPr>
            <w:tcW w:w="1035"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2E62716B"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0.008</w:t>
            </w:r>
          </w:p>
        </w:tc>
        <w:tc>
          <w:tcPr>
            <w:tcW w:w="1035"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11A5EFCA"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0.025</w:t>
            </w:r>
          </w:p>
        </w:tc>
        <w:tc>
          <w:tcPr>
            <w:tcW w:w="1129"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25ECCAA9"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0.735</w:t>
            </w:r>
          </w:p>
        </w:tc>
        <w:tc>
          <w:tcPr>
            <w:tcW w:w="1129"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08278AAB"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11,475</w:t>
            </w:r>
          </w:p>
        </w:tc>
        <w:tc>
          <w:tcPr>
            <w:tcW w:w="941"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6FFF6A5B"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No</w:t>
            </w:r>
          </w:p>
        </w:tc>
        <w:tc>
          <w:tcPr>
            <w:tcW w:w="941"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34A013A7"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Yes</w:t>
            </w:r>
          </w:p>
        </w:tc>
      </w:tr>
      <w:tr w:rsidR="0043177E" w:rsidRPr="00642AC1" w14:paraId="25AD814E" w14:textId="77777777">
        <w:tblPrEx>
          <w:tblCellMar>
            <w:top w:w="0" w:type="dxa"/>
            <w:bottom w:w="0" w:type="dxa"/>
          </w:tblCellMar>
        </w:tblPrEx>
        <w:tc>
          <w:tcPr>
            <w:tcW w:w="3200"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446E112C" w14:textId="1317AC41" w:rsidR="0043177E" w:rsidRPr="00642AC1" w:rsidRDefault="00000000">
            <w:pPr>
              <w:rPr>
                <w:rFonts w:asciiTheme="majorHAnsi" w:hAnsiTheme="majorHAnsi" w:cstheme="majorHAnsi"/>
              </w:rPr>
            </w:pPr>
            <w:r w:rsidRPr="00642AC1">
              <w:rPr>
                <w:rFonts w:asciiTheme="majorHAnsi" w:hAnsiTheme="majorHAnsi" w:cstheme="majorHAnsi"/>
                <w:i/>
                <w:iCs/>
                <w:color w:val="000000"/>
                <w:sz w:val="18"/>
                <w:szCs w:val="18"/>
              </w:rPr>
              <w:t xml:space="preserve">(2) TWFE </w:t>
            </w:r>
            <w:r w:rsidR="00570D37" w:rsidRPr="00642AC1">
              <w:rPr>
                <w:rFonts w:asciiTheme="majorHAnsi" w:hAnsiTheme="majorHAnsi" w:cstheme="majorHAnsi"/>
                <w:i/>
                <w:iCs/>
                <w:color w:val="000000"/>
                <w:sz w:val="18"/>
                <w:szCs w:val="18"/>
              </w:rPr>
              <w:t>-</w:t>
            </w:r>
            <w:r w:rsidRPr="00642AC1">
              <w:rPr>
                <w:rFonts w:asciiTheme="majorHAnsi" w:hAnsiTheme="majorHAnsi" w:cstheme="majorHAnsi"/>
                <w:i/>
                <w:iCs/>
                <w:color w:val="000000"/>
                <w:sz w:val="18"/>
                <w:szCs w:val="18"/>
              </w:rPr>
              <w:t xml:space="preserve"> VAR + controls</w:t>
            </w:r>
          </w:p>
        </w:tc>
        <w:tc>
          <w:tcPr>
            <w:tcW w:w="1035"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4D95AE68"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0.014</w:t>
            </w:r>
          </w:p>
        </w:tc>
        <w:tc>
          <w:tcPr>
            <w:tcW w:w="1035"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0250BB6E"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0.024</w:t>
            </w:r>
          </w:p>
        </w:tc>
        <w:tc>
          <w:tcPr>
            <w:tcW w:w="1129"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6E3310CC"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0.543</w:t>
            </w:r>
          </w:p>
        </w:tc>
        <w:tc>
          <w:tcPr>
            <w:tcW w:w="1129"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381857E6"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11,475</w:t>
            </w:r>
          </w:p>
        </w:tc>
        <w:tc>
          <w:tcPr>
            <w:tcW w:w="941"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18F0F1CB"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Yes</w:t>
            </w:r>
          </w:p>
        </w:tc>
        <w:tc>
          <w:tcPr>
            <w:tcW w:w="941"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6E78A70D"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Yes</w:t>
            </w:r>
          </w:p>
        </w:tc>
      </w:tr>
      <w:tr w:rsidR="0043177E" w:rsidRPr="00642AC1" w14:paraId="243913EE" w14:textId="77777777">
        <w:tblPrEx>
          <w:tblCellMar>
            <w:top w:w="0" w:type="dxa"/>
            <w:bottom w:w="0" w:type="dxa"/>
          </w:tblCellMar>
        </w:tblPrEx>
        <w:tc>
          <w:tcPr>
            <w:tcW w:w="3200"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0C465040" w14:textId="07B369C0" w:rsidR="0043177E" w:rsidRPr="00642AC1" w:rsidRDefault="00000000">
            <w:pPr>
              <w:rPr>
                <w:rFonts w:asciiTheme="majorHAnsi" w:hAnsiTheme="majorHAnsi" w:cstheme="majorHAnsi"/>
              </w:rPr>
            </w:pPr>
            <w:r w:rsidRPr="00642AC1">
              <w:rPr>
                <w:rFonts w:asciiTheme="majorHAnsi" w:hAnsiTheme="majorHAnsi" w:cstheme="majorHAnsi"/>
                <w:i/>
                <w:iCs/>
                <w:color w:val="000000"/>
                <w:sz w:val="18"/>
                <w:szCs w:val="18"/>
              </w:rPr>
              <w:t xml:space="preserve">(3) </w:t>
            </w:r>
            <w:r w:rsidR="00570D37" w:rsidRPr="00642AC1">
              <w:rPr>
                <w:rFonts w:asciiTheme="majorHAnsi" w:hAnsiTheme="majorHAnsi" w:cstheme="majorHAnsi"/>
                <w:i/>
                <w:iCs/>
                <w:color w:val="000000"/>
                <w:sz w:val="18"/>
                <w:szCs w:val="18"/>
              </w:rPr>
              <w:t xml:space="preserve">+/- </w:t>
            </w:r>
            <w:r w:rsidRPr="00642AC1">
              <w:rPr>
                <w:rFonts w:asciiTheme="majorHAnsi" w:hAnsiTheme="majorHAnsi" w:cstheme="majorHAnsi"/>
                <w:i/>
                <w:iCs/>
                <w:color w:val="000000"/>
                <w:sz w:val="18"/>
                <w:szCs w:val="18"/>
              </w:rPr>
              <w:t>3-season window</w:t>
            </w:r>
          </w:p>
        </w:tc>
        <w:tc>
          <w:tcPr>
            <w:tcW w:w="1035"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00816299"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0.014</w:t>
            </w:r>
          </w:p>
        </w:tc>
        <w:tc>
          <w:tcPr>
            <w:tcW w:w="1035"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7EB035A9"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0.024</w:t>
            </w:r>
          </w:p>
        </w:tc>
        <w:tc>
          <w:tcPr>
            <w:tcW w:w="1129"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4907896F"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0.578</w:t>
            </w:r>
          </w:p>
        </w:tc>
        <w:tc>
          <w:tcPr>
            <w:tcW w:w="1129"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41304210"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7,360</w:t>
            </w:r>
          </w:p>
        </w:tc>
        <w:tc>
          <w:tcPr>
            <w:tcW w:w="941"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73633860"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Yes</w:t>
            </w:r>
          </w:p>
        </w:tc>
        <w:tc>
          <w:tcPr>
            <w:tcW w:w="941" w:type="dxa"/>
            <w:tcBorders>
              <w:top w:val="single" w:sz="1" w:space="0" w:color="DDDDDD"/>
              <w:left w:val="none" w:sz="0" w:space="0" w:color="FFFFFF"/>
              <w:bottom w:val="single" w:sz="1" w:space="0" w:color="DDDDDD"/>
              <w:right w:val="none" w:sz="0" w:space="0" w:color="FFFFFF"/>
            </w:tcBorders>
            <w:shd w:val="clear" w:color="auto" w:fill="FFFFFF"/>
            <w:tcMar>
              <w:top w:w="60" w:type="dxa"/>
              <w:left w:w="100" w:type="dxa"/>
              <w:bottom w:w="60" w:type="dxa"/>
              <w:right w:w="100" w:type="dxa"/>
            </w:tcMar>
            <w:vAlign w:val="center"/>
          </w:tcPr>
          <w:p w14:paraId="4076AF8A"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Yes</w:t>
            </w:r>
          </w:p>
        </w:tc>
      </w:tr>
      <w:tr w:rsidR="0043177E" w:rsidRPr="00642AC1" w14:paraId="63F9F48B" w14:textId="77777777">
        <w:tblPrEx>
          <w:tblCellMar>
            <w:top w:w="0" w:type="dxa"/>
            <w:bottom w:w="0" w:type="dxa"/>
          </w:tblCellMar>
        </w:tblPrEx>
        <w:tc>
          <w:tcPr>
            <w:tcW w:w="3200"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3CBE6049" w14:textId="77777777" w:rsidR="0043177E" w:rsidRPr="00642AC1" w:rsidRDefault="00000000">
            <w:pPr>
              <w:rPr>
                <w:rFonts w:asciiTheme="majorHAnsi" w:hAnsiTheme="majorHAnsi" w:cstheme="majorHAnsi"/>
              </w:rPr>
            </w:pPr>
            <w:r w:rsidRPr="00642AC1">
              <w:rPr>
                <w:rFonts w:asciiTheme="majorHAnsi" w:hAnsiTheme="majorHAnsi" w:cstheme="majorHAnsi"/>
                <w:i/>
                <w:iCs/>
                <w:color w:val="000000"/>
                <w:sz w:val="18"/>
                <w:szCs w:val="18"/>
              </w:rPr>
              <w:t>(4) Poisson MLE</w:t>
            </w:r>
          </w:p>
        </w:tc>
        <w:tc>
          <w:tcPr>
            <w:tcW w:w="1035"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6E80ADA7"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0.088</w:t>
            </w:r>
          </w:p>
        </w:tc>
        <w:tc>
          <w:tcPr>
            <w:tcW w:w="1035"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5992D767"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0.139</w:t>
            </w:r>
          </w:p>
        </w:tc>
        <w:tc>
          <w:tcPr>
            <w:tcW w:w="1129"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715E6E72"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0.527</w:t>
            </w:r>
          </w:p>
        </w:tc>
        <w:tc>
          <w:tcPr>
            <w:tcW w:w="1129"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4EBFF80F"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11,475</w:t>
            </w:r>
          </w:p>
        </w:tc>
        <w:tc>
          <w:tcPr>
            <w:tcW w:w="941"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359C3FFA"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Yes</w:t>
            </w:r>
          </w:p>
        </w:tc>
        <w:tc>
          <w:tcPr>
            <w:tcW w:w="941" w:type="dxa"/>
            <w:tcBorders>
              <w:top w:val="single" w:sz="1" w:space="0" w:color="DDDDDD"/>
              <w:left w:val="none" w:sz="0" w:space="0" w:color="FFFFFF"/>
              <w:bottom w:val="single" w:sz="1" w:space="0" w:color="DDDDDD"/>
              <w:right w:val="none" w:sz="0" w:space="0" w:color="FFFFFF"/>
            </w:tcBorders>
            <w:shd w:val="clear" w:color="auto" w:fill="F0F2F5"/>
            <w:tcMar>
              <w:top w:w="60" w:type="dxa"/>
              <w:left w:w="100" w:type="dxa"/>
              <w:bottom w:w="60" w:type="dxa"/>
              <w:right w:w="100" w:type="dxa"/>
            </w:tcMar>
            <w:vAlign w:val="center"/>
          </w:tcPr>
          <w:p w14:paraId="464F1C35" w14:textId="77777777" w:rsidR="0043177E" w:rsidRPr="00642AC1" w:rsidRDefault="00000000">
            <w:pPr>
              <w:jc w:val="center"/>
              <w:rPr>
                <w:rFonts w:asciiTheme="majorHAnsi" w:hAnsiTheme="majorHAnsi" w:cstheme="majorHAnsi"/>
              </w:rPr>
            </w:pPr>
            <w:r w:rsidRPr="00642AC1">
              <w:rPr>
                <w:rFonts w:asciiTheme="majorHAnsi" w:hAnsiTheme="majorHAnsi" w:cstheme="majorHAnsi"/>
                <w:color w:val="000000"/>
                <w:sz w:val="18"/>
                <w:szCs w:val="18"/>
              </w:rPr>
              <w:t>Yes</w:t>
            </w:r>
          </w:p>
        </w:tc>
      </w:tr>
    </w:tbl>
    <w:p w14:paraId="072769CB" w14:textId="673E2818" w:rsidR="0043177E" w:rsidRPr="00642AC1" w:rsidRDefault="00000000">
      <w:pPr>
        <w:spacing w:before="60" w:after="160"/>
        <w:jc w:val="center"/>
        <w:rPr>
          <w:rFonts w:asciiTheme="majorHAnsi" w:hAnsiTheme="majorHAnsi" w:cstheme="majorHAnsi"/>
        </w:rPr>
      </w:pPr>
      <w:r w:rsidRPr="00642AC1">
        <w:rPr>
          <w:rFonts w:asciiTheme="majorHAnsi" w:hAnsiTheme="majorHAnsi" w:cstheme="majorHAnsi"/>
          <w:i/>
          <w:iCs/>
          <w:color w:val="555555"/>
          <w:sz w:val="17"/>
          <w:szCs w:val="17"/>
        </w:rPr>
        <w:lastRenderedPageBreak/>
        <w:t>Table 2: VAR coefficient across specifications. Outcome: red cards per match. Models 1-3 use OLS with SEs clustered at team level (</w:t>
      </w:r>
      <w:r w:rsidR="00346AFD">
        <w:rPr>
          <w:rFonts w:asciiTheme="majorHAnsi" w:hAnsiTheme="majorHAnsi" w:cstheme="majorHAnsi"/>
          <w:i/>
          <w:iCs/>
          <w:color w:val="555555"/>
          <w:sz w:val="17"/>
          <w:szCs w:val="17"/>
        </w:rPr>
        <w:t>N</w:t>
      </w:r>
      <w:r w:rsidRPr="00642AC1">
        <w:rPr>
          <w:rFonts w:asciiTheme="majorHAnsi" w:hAnsiTheme="majorHAnsi" w:cstheme="majorHAnsi"/>
          <w:i/>
          <w:iCs/>
          <w:color w:val="555555"/>
          <w:sz w:val="17"/>
          <w:szCs w:val="17"/>
        </w:rPr>
        <w:t xml:space="preserve"> = 98). Model 4 reports Poisson log-coefficient (IRR = 1.092). Controls = total fouls and yellow cards per match. FE = home/away team FEs + season FEs.</w:t>
      </w:r>
    </w:p>
    <w:p w14:paraId="0E123670" w14:textId="2B91C801"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 xml:space="preserve">The Poisson specification (Model 4) is appropriate given the count nature of red cards and heavy zero-inflation (~84% of matches). It </w:t>
      </w:r>
      <w:r w:rsidR="00915C6A">
        <w:rPr>
          <w:rFonts w:asciiTheme="majorHAnsi" w:hAnsiTheme="majorHAnsi" w:cstheme="majorHAnsi"/>
          <w:sz w:val="19"/>
          <w:szCs w:val="19"/>
        </w:rPr>
        <w:t>gives</w:t>
      </w:r>
      <w:r w:rsidRPr="00642AC1">
        <w:rPr>
          <w:rFonts w:asciiTheme="majorHAnsi" w:hAnsiTheme="majorHAnsi" w:cstheme="majorHAnsi"/>
          <w:sz w:val="19"/>
          <w:szCs w:val="19"/>
        </w:rPr>
        <w:t xml:space="preserve"> an incidence ratio of 1.092, implying a 9.2% increase in expected red cards per match under VAR, though the estimate is </w:t>
      </w:r>
      <w:r w:rsidR="00915C6A">
        <w:rPr>
          <w:rFonts w:asciiTheme="majorHAnsi" w:hAnsiTheme="majorHAnsi" w:cstheme="majorHAnsi"/>
          <w:sz w:val="19"/>
          <w:szCs w:val="19"/>
        </w:rPr>
        <w:t xml:space="preserve">also somewhat </w:t>
      </w:r>
      <w:r w:rsidRPr="00642AC1">
        <w:rPr>
          <w:rFonts w:asciiTheme="majorHAnsi" w:hAnsiTheme="majorHAnsi" w:cstheme="majorHAnsi"/>
          <w:sz w:val="19"/>
          <w:szCs w:val="19"/>
        </w:rPr>
        <w:t>imprecise. The narrow-window robustness check (</w:t>
      </w:r>
      <w:proofErr w:type="gramStart"/>
      <w:r w:rsidR="00915C6A">
        <w:rPr>
          <w:rFonts w:asciiTheme="majorHAnsi" w:hAnsiTheme="majorHAnsi" w:cstheme="majorHAnsi"/>
          <w:sz w:val="19"/>
          <w:szCs w:val="19"/>
        </w:rPr>
        <w:t>i.e.</w:t>
      </w:r>
      <w:proofErr w:type="gramEnd"/>
      <w:r w:rsidR="00915C6A">
        <w:rPr>
          <w:rFonts w:asciiTheme="majorHAnsi" w:hAnsiTheme="majorHAnsi" w:cstheme="majorHAnsi"/>
          <w:sz w:val="19"/>
          <w:szCs w:val="19"/>
        </w:rPr>
        <w:t xml:space="preserve"> the </w:t>
      </w:r>
      <w:r w:rsidRPr="00642AC1">
        <w:rPr>
          <w:rFonts w:asciiTheme="majorHAnsi" w:hAnsiTheme="majorHAnsi" w:cstheme="majorHAnsi"/>
          <w:sz w:val="19"/>
          <w:szCs w:val="19"/>
        </w:rPr>
        <w:t xml:space="preserve">Model </w:t>
      </w:r>
      <w:r w:rsidR="00915C6A">
        <w:rPr>
          <w:rFonts w:asciiTheme="majorHAnsi" w:hAnsiTheme="majorHAnsi" w:cstheme="majorHAnsi"/>
          <w:sz w:val="19"/>
          <w:szCs w:val="19"/>
        </w:rPr>
        <w:t>#</w:t>
      </w:r>
      <w:r w:rsidRPr="00642AC1">
        <w:rPr>
          <w:rFonts w:asciiTheme="majorHAnsi" w:hAnsiTheme="majorHAnsi" w:cstheme="majorHAnsi"/>
          <w:sz w:val="19"/>
          <w:szCs w:val="19"/>
        </w:rPr>
        <w:t>3) restrict</w:t>
      </w:r>
      <w:r w:rsidR="00915C6A">
        <w:rPr>
          <w:rFonts w:asciiTheme="majorHAnsi" w:hAnsiTheme="majorHAnsi" w:cstheme="majorHAnsi"/>
          <w:sz w:val="19"/>
          <w:szCs w:val="19"/>
        </w:rPr>
        <w:t>ed</w:t>
      </w:r>
      <w:r w:rsidRPr="00642AC1">
        <w:rPr>
          <w:rFonts w:asciiTheme="majorHAnsi" w:hAnsiTheme="majorHAnsi" w:cstheme="majorHAnsi"/>
          <w:sz w:val="19"/>
          <w:szCs w:val="19"/>
        </w:rPr>
        <w:t xml:space="preserve"> to </w:t>
      </w:r>
      <w:r w:rsidR="00915C6A">
        <w:rPr>
          <w:rFonts w:asciiTheme="majorHAnsi" w:hAnsiTheme="majorHAnsi" w:cstheme="majorHAnsi"/>
          <w:sz w:val="19"/>
          <w:szCs w:val="19"/>
        </w:rPr>
        <w:t>+/-</w:t>
      </w:r>
      <w:r w:rsidRPr="00642AC1">
        <w:rPr>
          <w:rFonts w:asciiTheme="majorHAnsi" w:hAnsiTheme="majorHAnsi" w:cstheme="majorHAnsi"/>
          <w:sz w:val="19"/>
          <w:szCs w:val="19"/>
        </w:rPr>
        <w:t>3 seasons around each league's adoption date, yield</w:t>
      </w:r>
      <w:r w:rsidR="00915C6A">
        <w:rPr>
          <w:rFonts w:asciiTheme="majorHAnsi" w:hAnsiTheme="majorHAnsi" w:cstheme="majorHAnsi"/>
          <w:sz w:val="19"/>
          <w:szCs w:val="19"/>
        </w:rPr>
        <w:t>s</w:t>
      </w:r>
      <w:r w:rsidRPr="00642AC1">
        <w:rPr>
          <w:rFonts w:asciiTheme="majorHAnsi" w:hAnsiTheme="majorHAnsi" w:cstheme="majorHAnsi"/>
          <w:sz w:val="19"/>
          <w:szCs w:val="19"/>
        </w:rPr>
        <w:t xml:space="preserve"> </w:t>
      </w:r>
      <w:r w:rsidR="00915C6A">
        <w:rPr>
          <w:rFonts w:asciiTheme="majorHAnsi" w:hAnsiTheme="majorHAnsi" w:cstheme="majorHAnsi"/>
          <w:sz w:val="19"/>
          <w:szCs w:val="19"/>
        </w:rPr>
        <w:t xml:space="preserve">the same </w:t>
      </w:r>
      <w:r w:rsidRPr="00642AC1">
        <w:rPr>
          <w:rFonts w:asciiTheme="majorHAnsi" w:hAnsiTheme="majorHAnsi" w:cstheme="majorHAnsi"/>
          <w:sz w:val="19"/>
          <w:szCs w:val="19"/>
        </w:rPr>
        <w:t>point estimate, confirming the result is not driven by long-run trends in red card rates.</w:t>
      </w:r>
    </w:p>
    <w:p w14:paraId="1F7516BF" w14:textId="56DCCA50" w:rsidR="0043177E" w:rsidRPr="00642AC1" w:rsidRDefault="00AE6D23" w:rsidP="00AE6D23">
      <w:pPr>
        <w:spacing w:after="60"/>
        <w:rPr>
          <w:rFonts w:asciiTheme="majorHAnsi" w:hAnsiTheme="majorHAnsi" w:cstheme="majorHAnsi"/>
        </w:rPr>
      </w:pPr>
      <w:r w:rsidRPr="00AE6D23">
        <w:rPr>
          <w:rFonts w:asciiTheme="majorHAnsi" w:hAnsiTheme="majorHAnsi" w:cstheme="majorHAnsi"/>
        </w:rPr>
        <w:drawing>
          <wp:inline distT="0" distB="0" distL="0" distR="0" wp14:anchorId="3003912B" wp14:editId="35BE6308">
            <wp:extent cx="5976620" cy="2656205"/>
            <wp:effectExtent l="0" t="0" r="5080" b="0"/>
            <wp:docPr id="1448775985"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75985" name="Picture 1" descr="A graph of different colored lines&#10;&#10;Description automatically generated"/>
                    <pic:cNvPicPr/>
                  </pic:nvPicPr>
                  <pic:blipFill>
                    <a:blip r:embed="rId9"/>
                    <a:stretch>
                      <a:fillRect/>
                    </a:stretch>
                  </pic:blipFill>
                  <pic:spPr>
                    <a:xfrm>
                      <a:off x="0" y="0"/>
                      <a:ext cx="5976620" cy="2656205"/>
                    </a:xfrm>
                    <a:prstGeom prst="rect">
                      <a:avLst/>
                    </a:prstGeom>
                  </pic:spPr>
                </pic:pic>
              </a:graphicData>
            </a:graphic>
          </wp:inline>
        </w:drawing>
      </w:r>
    </w:p>
    <w:p w14:paraId="69F6737A" w14:textId="77777777" w:rsidR="0043177E" w:rsidRPr="00642AC1" w:rsidRDefault="00000000">
      <w:pPr>
        <w:spacing w:before="40" w:after="160"/>
        <w:jc w:val="center"/>
        <w:rPr>
          <w:rFonts w:asciiTheme="majorHAnsi" w:hAnsiTheme="majorHAnsi" w:cstheme="majorHAnsi"/>
        </w:rPr>
      </w:pPr>
      <w:r w:rsidRPr="00642AC1">
        <w:rPr>
          <w:rFonts w:asciiTheme="majorHAnsi" w:hAnsiTheme="majorHAnsi" w:cstheme="majorHAnsi"/>
          <w:i/>
          <w:iCs/>
          <w:color w:val="555555"/>
          <w:sz w:val="17"/>
          <w:szCs w:val="17"/>
        </w:rPr>
        <w:t>Figure 2: Average red cards per match by season. Dashed lines mark each league's VAR adoption. No sharp discontinuity is visible at adoption thresholds, consistent with a small and noisy treatment effect.</w:t>
      </w:r>
    </w:p>
    <w:p w14:paraId="2EB90436" w14:textId="77777777" w:rsidR="0043177E" w:rsidRPr="00642AC1" w:rsidRDefault="00000000">
      <w:pPr>
        <w:pBdr>
          <w:bottom w:val="single" w:sz="4" w:space="2" w:color="2A9D8F"/>
        </w:pBdr>
        <w:spacing w:before="240" w:after="8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6"/>
          <w:szCs w:val="26"/>
        </w:rPr>
        <w:t>5. Discussion &amp; Robustness</w:t>
      </w:r>
    </w:p>
    <w:p w14:paraId="0AE34CE2" w14:textId="77777777" w:rsidR="0043177E" w:rsidRPr="00642AC1" w:rsidRDefault="00000000">
      <w:pPr>
        <w:spacing w:before="160" w:after="6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2"/>
          <w:szCs w:val="22"/>
        </w:rPr>
        <w:t>Does this show a causal effect?</w:t>
      </w:r>
    </w:p>
    <w:p w14:paraId="0817EE2B" w14:textId="05E08B42" w:rsidR="00AB6F51" w:rsidRDefault="00AB6F51" w:rsidP="00CF6FAA">
      <w:pPr>
        <w:spacing w:after="100" w:line="280" w:lineRule="auto"/>
        <w:jc w:val="both"/>
        <w:rPr>
          <w:rFonts w:asciiTheme="majorHAnsi" w:hAnsiTheme="majorHAnsi" w:cstheme="majorHAnsi"/>
          <w:sz w:val="19"/>
          <w:szCs w:val="19"/>
        </w:rPr>
      </w:pPr>
      <w:r w:rsidRPr="00AB6F51">
        <w:rPr>
          <w:rFonts w:asciiTheme="majorHAnsi" w:hAnsiTheme="majorHAnsi" w:cstheme="majorHAnsi"/>
          <w:sz w:val="19"/>
          <w:szCs w:val="19"/>
        </w:rPr>
        <w:t>Skeptics might argue that the estimates do not constitute convincing causal evidence for three reasons. First, even with</w:t>
      </w:r>
      <w:r>
        <w:rPr>
          <w:rFonts w:asciiTheme="majorHAnsi" w:hAnsiTheme="majorHAnsi" w:cstheme="majorHAnsi"/>
          <w:sz w:val="19"/>
          <w:szCs w:val="19"/>
        </w:rPr>
        <w:t xml:space="preserve"> </w:t>
      </w:r>
      <w:r w:rsidRPr="00AB6F51">
        <w:rPr>
          <w:rFonts w:asciiTheme="majorHAnsi" w:hAnsiTheme="majorHAnsi" w:cstheme="majorHAnsi"/>
          <w:sz w:val="19"/>
          <w:szCs w:val="19"/>
        </w:rPr>
        <w:t>98 team clusters, the underlying treatment variation is at the league level (three units)</w:t>
      </w:r>
      <w:r>
        <w:rPr>
          <w:rFonts w:asciiTheme="majorHAnsi" w:hAnsiTheme="majorHAnsi" w:cstheme="majorHAnsi"/>
          <w:sz w:val="19"/>
          <w:szCs w:val="19"/>
        </w:rPr>
        <w:t>.</w:t>
      </w:r>
      <w:r w:rsidRPr="00AB6F51">
        <w:rPr>
          <w:rFonts w:asciiTheme="majorHAnsi" w:hAnsiTheme="majorHAnsi" w:cstheme="majorHAnsi"/>
          <w:sz w:val="19"/>
          <w:szCs w:val="19"/>
        </w:rPr>
        <w:t xml:space="preserve"> </w:t>
      </w:r>
      <w:r>
        <w:rPr>
          <w:rFonts w:asciiTheme="majorHAnsi" w:hAnsiTheme="majorHAnsi" w:cstheme="majorHAnsi"/>
          <w:sz w:val="19"/>
          <w:szCs w:val="19"/>
        </w:rPr>
        <w:t xml:space="preserve">This </w:t>
      </w:r>
      <w:r w:rsidRPr="00AB6F51">
        <w:rPr>
          <w:rFonts w:asciiTheme="majorHAnsi" w:hAnsiTheme="majorHAnsi" w:cstheme="majorHAnsi"/>
          <w:sz w:val="19"/>
          <w:szCs w:val="19"/>
        </w:rPr>
        <w:t xml:space="preserve">implies inference is effectively based on three independent policy shocks. Second, the parallel-trends assumption </w:t>
      </w:r>
      <w:r>
        <w:rPr>
          <w:rFonts w:asciiTheme="majorHAnsi" w:hAnsiTheme="majorHAnsi" w:cstheme="majorHAnsi"/>
          <w:sz w:val="19"/>
          <w:szCs w:val="19"/>
        </w:rPr>
        <w:t xml:space="preserve">may not </w:t>
      </w:r>
      <w:r w:rsidRPr="00AB6F51">
        <w:rPr>
          <w:rFonts w:asciiTheme="majorHAnsi" w:hAnsiTheme="majorHAnsi" w:cstheme="majorHAnsi"/>
          <w:sz w:val="19"/>
          <w:szCs w:val="19"/>
        </w:rPr>
        <w:t>be formally tested with only three leagues. Finally, anticipation effects may bias estimates downward; if players and referees adjusted their behavior before VAR was formally introduced, the pre-period control is contaminated. Under this strict view, the results would be interpreted merely as a reduced-form association.</w:t>
      </w:r>
    </w:p>
    <w:p w14:paraId="305045D1" w14:textId="3BC2E961" w:rsidR="00CF6FAA" w:rsidRPr="00CF6FAA" w:rsidRDefault="00AB6F51" w:rsidP="00CF6FAA">
      <w:pPr>
        <w:spacing w:after="100" w:line="280" w:lineRule="auto"/>
        <w:jc w:val="both"/>
        <w:rPr>
          <w:rFonts w:asciiTheme="majorHAnsi" w:hAnsiTheme="majorHAnsi" w:cstheme="majorHAnsi"/>
          <w:sz w:val="19"/>
          <w:szCs w:val="19"/>
        </w:rPr>
      </w:pPr>
      <w:r w:rsidRPr="00AB6F51">
        <w:rPr>
          <w:rFonts w:asciiTheme="majorHAnsi" w:hAnsiTheme="majorHAnsi" w:cstheme="majorHAnsi"/>
          <w:sz w:val="19"/>
          <w:szCs w:val="19"/>
        </w:rPr>
        <w:t>However, despite the limitations inherent in having only three treated clusters, the estimates provided can be credibly interpreted as a causal effect. The staggered rollout of VAR across the 2017, 2018, and 2019 seasons provides a robust defense against unobserved, time</w:t>
      </w:r>
      <w:r>
        <w:rPr>
          <w:rFonts w:asciiTheme="majorHAnsi" w:hAnsiTheme="majorHAnsi" w:cstheme="majorHAnsi"/>
          <w:sz w:val="19"/>
          <w:szCs w:val="19"/>
        </w:rPr>
        <w:t xml:space="preserve"> related </w:t>
      </w:r>
      <w:r>
        <w:rPr>
          <w:rFonts w:asciiTheme="majorHAnsi" w:hAnsiTheme="majorHAnsi" w:cstheme="majorHAnsi"/>
          <w:i/>
          <w:iCs/>
          <w:sz w:val="19"/>
          <w:szCs w:val="19"/>
        </w:rPr>
        <w:t xml:space="preserve">global </w:t>
      </w:r>
      <w:r w:rsidRPr="00AB6F51">
        <w:rPr>
          <w:rFonts w:asciiTheme="majorHAnsi" w:hAnsiTheme="majorHAnsi" w:cstheme="majorHAnsi"/>
          <w:sz w:val="19"/>
          <w:szCs w:val="19"/>
        </w:rPr>
        <w:t xml:space="preserve">shocks. By using this staggered timing, the non-adopting leagues serve as a valid counterfactual at every stage. Furthermore, the event study </w:t>
      </w:r>
      <w:r>
        <w:rPr>
          <w:rFonts w:asciiTheme="majorHAnsi" w:hAnsiTheme="majorHAnsi" w:cstheme="majorHAnsi"/>
          <w:sz w:val="19"/>
          <w:szCs w:val="19"/>
        </w:rPr>
        <w:t xml:space="preserve">shows significant </w:t>
      </w:r>
      <w:r w:rsidRPr="00AB6F51">
        <w:rPr>
          <w:rFonts w:asciiTheme="majorHAnsi" w:hAnsiTheme="majorHAnsi" w:cstheme="majorHAnsi"/>
          <w:sz w:val="19"/>
          <w:szCs w:val="19"/>
        </w:rPr>
        <w:t xml:space="preserve">flat and overlapping pre-treatment trends from t=-4 to t=-1. This empirically satisfies the main identifying assumption of </w:t>
      </w:r>
      <w:proofErr w:type="spellStart"/>
      <w:r>
        <w:rPr>
          <w:rFonts w:asciiTheme="majorHAnsi" w:hAnsiTheme="majorHAnsi" w:cstheme="majorHAnsi"/>
          <w:sz w:val="19"/>
          <w:szCs w:val="19"/>
        </w:rPr>
        <w:t>DiD</w:t>
      </w:r>
      <w:proofErr w:type="spellEnd"/>
      <w:r w:rsidRPr="00AB6F51">
        <w:rPr>
          <w:rFonts w:asciiTheme="majorHAnsi" w:hAnsiTheme="majorHAnsi" w:cstheme="majorHAnsi"/>
          <w:sz w:val="19"/>
          <w:szCs w:val="19"/>
        </w:rPr>
        <w:t xml:space="preserve"> by showing that red card rates would have evolved similarly even without VAR. Finally, the threat of anticipation bias is </w:t>
      </w:r>
      <w:r>
        <w:rPr>
          <w:rFonts w:asciiTheme="majorHAnsi" w:hAnsiTheme="majorHAnsi" w:cstheme="majorHAnsi"/>
          <w:sz w:val="19"/>
          <w:szCs w:val="19"/>
        </w:rPr>
        <w:t>reduced</w:t>
      </w:r>
      <w:r w:rsidRPr="00AB6F51">
        <w:rPr>
          <w:rFonts w:asciiTheme="majorHAnsi" w:hAnsiTheme="majorHAnsi" w:cstheme="majorHAnsi"/>
          <w:sz w:val="19"/>
          <w:szCs w:val="19"/>
        </w:rPr>
        <w:t xml:space="preserve"> by the physical nature of the intervention. Players and referees cannot meaningfully adapt to </w:t>
      </w:r>
      <w:r>
        <w:rPr>
          <w:rFonts w:asciiTheme="majorHAnsi" w:hAnsiTheme="majorHAnsi" w:cstheme="majorHAnsi"/>
          <w:sz w:val="19"/>
          <w:szCs w:val="19"/>
        </w:rPr>
        <w:t>(</w:t>
      </w:r>
      <w:r w:rsidRPr="00AB6F51">
        <w:rPr>
          <w:rFonts w:asciiTheme="majorHAnsi" w:hAnsiTheme="majorHAnsi" w:cstheme="majorHAnsi"/>
          <w:sz w:val="19"/>
          <w:szCs w:val="19"/>
        </w:rPr>
        <w:t>or simulate</w:t>
      </w:r>
      <w:r>
        <w:rPr>
          <w:rFonts w:asciiTheme="majorHAnsi" w:hAnsiTheme="majorHAnsi" w:cstheme="majorHAnsi"/>
          <w:sz w:val="19"/>
          <w:szCs w:val="19"/>
        </w:rPr>
        <w:t>)</w:t>
      </w:r>
      <w:r w:rsidRPr="00AB6F51">
        <w:rPr>
          <w:rFonts w:asciiTheme="majorHAnsi" w:hAnsiTheme="majorHAnsi" w:cstheme="majorHAnsi"/>
          <w:sz w:val="19"/>
          <w:szCs w:val="19"/>
        </w:rPr>
        <w:t xml:space="preserve"> video surveillance until the camera angles and the VAR are actively operating during a live match. Because the event study shows no pre-treatment divergence in the season immediately prior to adoption, anticipation can be reasonably ruled out as a source of bias</w:t>
      </w:r>
      <w:r w:rsidR="00CF6FAA" w:rsidRPr="00CF6FAA">
        <w:rPr>
          <w:rFonts w:asciiTheme="majorHAnsi" w:hAnsiTheme="majorHAnsi" w:cstheme="majorHAnsi"/>
          <w:sz w:val="19"/>
          <w:szCs w:val="19"/>
        </w:rPr>
        <w:t xml:space="preserve">. </w:t>
      </w:r>
    </w:p>
    <w:p w14:paraId="7559EA99" w14:textId="54FBC400" w:rsidR="0043177E" w:rsidRPr="00642AC1" w:rsidRDefault="00915C6A">
      <w:pPr>
        <w:spacing w:before="160" w:after="60"/>
        <w:rPr>
          <w:rFonts w:asciiTheme="majorHAnsi" w:hAnsiTheme="majorHAnsi" w:cstheme="majorHAnsi"/>
          <w:color w:val="05676C" w:themeColor="accent3" w:themeShade="80"/>
        </w:rPr>
      </w:pPr>
      <w:r>
        <w:rPr>
          <w:rFonts w:asciiTheme="majorHAnsi" w:hAnsiTheme="majorHAnsi" w:cstheme="majorHAnsi"/>
          <w:b/>
          <w:bCs/>
          <w:color w:val="05676C" w:themeColor="accent3" w:themeShade="80"/>
          <w:sz w:val="22"/>
          <w:szCs w:val="22"/>
        </w:rPr>
        <w:t>The best way to have a c</w:t>
      </w:r>
      <w:r w:rsidR="00000000" w:rsidRPr="00642AC1">
        <w:rPr>
          <w:rFonts w:asciiTheme="majorHAnsi" w:hAnsiTheme="majorHAnsi" w:cstheme="majorHAnsi"/>
          <w:b/>
          <w:bCs/>
          <w:color w:val="05676C" w:themeColor="accent3" w:themeShade="80"/>
          <w:sz w:val="22"/>
          <w:szCs w:val="22"/>
        </w:rPr>
        <w:t>luster</w:t>
      </w:r>
      <w:r>
        <w:rPr>
          <w:rFonts w:asciiTheme="majorHAnsi" w:hAnsiTheme="majorHAnsi" w:cstheme="majorHAnsi"/>
          <w:b/>
          <w:bCs/>
          <w:color w:val="05676C" w:themeColor="accent3" w:themeShade="80"/>
          <w:sz w:val="22"/>
          <w:szCs w:val="22"/>
        </w:rPr>
        <w:t>?</w:t>
      </w:r>
    </w:p>
    <w:p w14:paraId="1589DC61" w14:textId="4D78EB04" w:rsidR="0043177E" w:rsidRDefault="00915C6A">
      <w:pPr>
        <w:spacing w:after="100" w:line="280" w:lineRule="auto"/>
        <w:jc w:val="both"/>
        <w:rPr>
          <w:rFonts w:asciiTheme="majorHAnsi" w:hAnsiTheme="majorHAnsi" w:cstheme="majorHAnsi"/>
          <w:sz w:val="19"/>
          <w:szCs w:val="19"/>
        </w:rPr>
      </w:pPr>
      <w:r>
        <w:rPr>
          <w:rFonts w:asciiTheme="majorHAnsi" w:hAnsiTheme="majorHAnsi" w:cstheme="majorHAnsi"/>
          <w:sz w:val="19"/>
          <w:szCs w:val="19"/>
        </w:rPr>
        <w:t>SE</w:t>
      </w:r>
      <w:r w:rsidR="00000000" w:rsidRPr="00642AC1">
        <w:rPr>
          <w:rFonts w:asciiTheme="majorHAnsi" w:hAnsiTheme="majorHAnsi" w:cstheme="majorHAnsi"/>
          <w:sz w:val="19"/>
          <w:szCs w:val="19"/>
        </w:rPr>
        <w:t xml:space="preserve"> are clustered at the team level (</w:t>
      </w:r>
      <w:r w:rsidR="00346AFD">
        <w:rPr>
          <w:rFonts w:asciiTheme="majorHAnsi" w:hAnsiTheme="majorHAnsi" w:cstheme="majorHAnsi"/>
          <w:sz w:val="19"/>
          <w:szCs w:val="19"/>
        </w:rPr>
        <w:t>N</w:t>
      </w:r>
      <w:r w:rsidR="00000000" w:rsidRPr="00642AC1">
        <w:rPr>
          <w:rFonts w:asciiTheme="majorHAnsi" w:hAnsiTheme="majorHAnsi" w:cstheme="majorHAnsi"/>
          <w:sz w:val="19"/>
          <w:szCs w:val="19"/>
        </w:rPr>
        <w:t>=98) rather than the league level (</w:t>
      </w:r>
      <w:r w:rsidR="00346AFD">
        <w:rPr>
          <w:rFonts w:asciiTheme="majorHAnsi" w:hAnsiTheme="majorHAnsi" w:cstheme="majorHAnsi"/>
          <w:sz w:val="19"/>
          <w:szCs w:val="19"/>
        </w:rPr>
        <w:t>N</w:t>
      </w:r>
      <w:r w:rsidR="00000000" w:rsidRPr="00642AC1">
        <w:rPr>
          <w:rFonts w:asciiTheme="majorHAnsi" w:hAnsiTheme="majorHAnsi" w:cstheme="majorHAnsi"/>
          <w:sz w:val="19"/>
          <w:szCs w:val="19"/>
        </w:rPr>
        <w:t xml:space="preserve">=3). </w:t>
      </w:r>
      <w:r w:rsidR="00CF6FAA">
        <w:rPr>
          <w:rFonts w:asciiTheme="majorHAnsi" w:hAnsiTheme="majorHAnsi" w:cstheme="majorHAnsi"/>
          <w:sz w:val="19"/>
          <w:szCs w:val="19"/>
        </w:rPr>
        <w:t>W</w:t>
      </w:r>
      <w:r w:rsidR="00CF6FAA">
        <w:rPr>
          <w:rFonts w:asciiTheme="majorHAnsi" w:hAnsiTheme="majorHAnsi" w:cstheme="majorHAnsi"/>
          <w:sz w:val="19"/>
          <w:szCs w:val="19"/>
        </w:rPr>
        <w:t xml:space="preserve">hile I initially led with the league based </w:t>
      </w:r>
      <w:proofErr w:type="gramStart"/>
      <w:r w:rsidR="00CF6FAA">
        <w:rPr>
          <w:rFonts w:asciiTheme="majorHAnsi" w:hAnsiTheme="majorHAnsi" w:cstheme="majorHAnsi"/>
          <w:sz w:val="19"/>
          <w:szCs w:val="19"/>
        </w:rPr>
        <w:t>cluster</w:t>
      </w:r>
      <w:r w:rsidR="00CF6FAA" w:rsidRPr="00642AC1">
        <w:rPr>
          <w:rFonts w:asciiTheme="majorHAnsi" w:hAnsiTheme="majorHAnsi" w:cstheme="majorHAnsi"/>
          <w:sz w:val="19"/>
          <w:szCs w:val="19"/>
        </w:rPr>
        <w:t xml:space="preserve"> </w:t>
      </w:r>
      <w:r w:rsidR="00CF6FAA">
        <w:rPr>
          <w:rFonts w:asciiTheme="majorHAnsi" w:hAnsiTheme="majorHAnsi" w:cstheme="majorHAnsi"/>
          <w:sz w:val="19"/>
          <w:szCs w:val="19"/>
        </w:rPr>
        <w:t>,</w:t>
      </w:r>
      <w:proofErr w:type="gramEnd"/>
      <w:r w:rsidR="00CF6FAA">
        <w:rPr>
          <w:rFonts w:asciiTheme="majorHAnsi" w:hAnsiTheme="majorHAnsi" w:cstheme="majorHAnsi"/>
          <w:sz w:val="19"/>
          <w:szCs w:val="19"/>
        </w:rPr>
        <w:t xml:space="preserve"> h</w:t>
      </w:r>
      <w:r w:rsidR="00000000" w:rsidRPr="00642AC1">
        <w:rPr>
          <w:rFonts w:asciiTheme="majorHAnsi" w:hAnsiTheme="majorHAnsi" w:cstheme="majorHAnsi"/>
          <w:sz w:val="19"/>
          <w:szCs w:val="19"/>
        </w:rPr>
        <w:t>owever,</w:t>
      </w:r>
      <w:r w:rsidR="00CF6FAA">
        <w:rPr>
          <w:rFonts w:asciiTheme="majorHAnsi" w:hAnsiTheme="majorHAnsi" w:cstheme="majorHAnsi"/>
          <w:sz w:val="19"/>
          <w:szCs w:val="19"/>
        </w:rPr>
        <w:t xml:space="preserve"> with</w:t>
      </w:r>
      <w:r w:rsidR="00000000" w:rsidRPr="00642AC1">
        <w:rPr>
          <w:rFonts w:asciiTheme="majorHAnsi" w:hAnsiTheme="majorHAnsi" w:cstheme="majorHAnsi"/>
          <w:sz w:val="19"/>
          <w:szCs w:val="19"/>
        </w:rPr>
        <w:t xml:space="preserve"> 3 clusters </w:t>
      </w:r>
      <w:r w:rsidR="00CF6FAA">
        <w:rPr>
          <w:rFonts w:asciiTheme="majorHAnsi" w:hAnsiTheme="majorHAnsi" w:cstheme="majorHAnsi"/>
          <w:sz w:val="19"/>
          <w:szCs w:val="19"/>
        </w:rPr>
        <w:t xml:space="preserve">the </w:t>
      </w:r>
      <w:r w:rsidR="00000000" w:rsidRPr="00642AC1">
        <w:rPr>
          <w:rFonts w:asciiTheme="majorHAnsi" w:hAnsiTheme="majorHAnsi" w:cstheme="majorHAnsi"/>
          <w:sz w:val="19"/>
          <w:szCs w:val="19"/>
        </w:rPr>
        <w:t xml:space="preserve">yield </w:t>
      </w:r>
      <w:r w:rsidR="00CF6FAA">
        <w:rPr>
          <w:rFonts w:asciiTheme="majorHAnsi" w:hAnsiTheme="majorHAnsi" w:cstheme="majorHAnsi"/>
          <w:sz w:val="19"/>
          <w:szCs w:val="19"/>
        </w:rPr>
        <w:t xml:space="preserve">was </w:t>
      </w:r>
      <w:r w:rsidR="00000000" w:rsidRPr="00642AC1">
        <w:rPr>
          <w:rFonts w:asciiTheme="majorHAnsi" w:hAnsiTheme="majorHAnsi" w:cstheme="majorHAnsi"/>
          <w:sz w:val="19"/>
          <w:szCs w:val="19"/>
        </w:rPr>
        <w:t xml:space="preserve">only </w:t>
      </w:r>
      <w:proofErr w:type="spellStart"/>
      <w:r w:rsidR="00000000" w:rsidRPr="00642AC1">
        <w:rPr>
          <w:rFonts w:asciiTheme="majorHAnsi" w:hAnsiTheme="majorHAnsi" w:cstheme="majorHAnsi"/>
          <w:sz w:val="19"/>
          <w:szCs w:val="19"/>
        </w:rPr>
        <w:t>df</w:t>
      </w:r>
      <w:proofErr w:type="spellEnd"/>
      <w:r w:rsidR="00000000" w:rsidRPr="00642AC1">
        <w:rPr>
          <w:rFonts w:asciiTheme="majorHAnsi" w:hAnsiTheme="majorHAnsi" w:cstheme="majorHAnsi"/>
          <w:sz w:val="19"/>
          <w:szCs w:val="19"/>
        </w:rPr>
        <w:t xml:space="preserve"> = 2 degrees of freedom for inference, making hypothesis testing unreliable. </w:t>
      </w:r>
      <w:r>
        <w:rPr>
          <w:rFonts w:asciiTheme="majorHAnsi" w:hAnsiTheme="majorHAnsi" w:cstheme="majorHAnsi"/>
          <w:sz w:val="19"/>
          <w:szCs w:val="19"/>
        </w:rPr>
        <w:t>Thus</w:t>
      </w:r>
      <w:r w:rsidR="00CF6FAA">
        <w:rPr>
          <w:rFonts w:asciiTheme="majorHAnsi" w:hAnsiTheme="majorHAnsi" w:cstheme="majorHAnsi"/>
          <w:sz w:val="19"/>
          <w:szCs w:val="19"/>
        </w:rPr>
        <w:t xml:space="preserve">, </w:t>
      </w:r>
      <w:r>
        <w:rPr>
          <w:rFonts w:asciiTheme="majorHAnsi" w:hAnsiTheme="majorHAnsi" w:cstheme="majorHAnsi"/>
          <w:sz w:val="19"/>
          <w:szCs w:val="19"/>
        </w:rPr>
        <w:t xml:space="preserve">I changed it to </w:t>
      </w:r>
      <w:r w:rsidR="00000000" w:rsidRPr="00642AC1">
        <w:rPr>
          <w:rFonts w:asciiTheme="majorHAnsi" w:hAnsiTheme="majorHAnsi" w:cstheme="majorHAnsi"/>
          <w:sz w:val="19"/>
          <w:szCs w:val="19"/>
        </w:rPr>
        <w:t xml:space="preserve">Team-level clustering with </w:t>
      </w:r>
      <w:r w:rsidR="00346AFD">
        <w:rPr>
          <w:rFonts w:asciiTheme="majorHAnsi" w:hAnsiTheme="majorHAnsi" w:cstheme="majorHAnsi"/>
          <w:sz w:val="19"/>
          <w:szCs w:val="19"/>
        </w:rPr>
        <w:t>N</w:t>
      </w:r>
      <w:r w:rsidR="00000000" w:rsidRPr="00642AC1">
        <w:rPr>
          <w:rFonts w:asciiTheme="majorHAnsi" w:hAnsiTheme="majorHAnsi" w:cstheme="majorHAnsi"/>
          <w:sz w:val="19"/>
          <w:szCs w:val="19"/>
        </w:rPr>
        <w:t>=98</w:t>
      </w:r>
      <w:r>
        <w:rPr>
          <w:rFonts w:asciiTheme="majorHAnsi" w:hAnsiTheme="majorHAnsi" w:cstheme="majorHAnsi"/>
          <w:sz w:val="19"/>
          <w:szCs w:val="19"/>
        </w:rPr>
        <w:t xml:space="preserve">. This </w:t>
      </w:r>
      <w:r w:rsidR="00000000" w:rsidRPr="00642AC1">
        <w:rPr>
          <w:rFonts w:asciiTheme="majorHAnsi" w:hAnsiTheme="majorHAnsi" w:cstheme="majorHAnsi"/>
          <w:sz w:val="19"/>
          <w:szCs w:val="19"/>
        </w:rPr>
        <w:t>produce</w:t>
      </w:r>
      <w:r>
        <w:rPr>
          <w:rFonts w:asciiTheme="majorHAnsi" w:hAnsiTheme="majorHAnsi" w:cstheme="majorHAnsi"/>
          <w:sz w:val="19"/>
          <w:szCs w:val="19"/>
        </w:rPr>
        <w:t>d</w:t>
      </w:r>
      <w:r w:rsidR="00000000" w:rsidRPr="00642AC1">
        <w:rPr>
          <w:rFonts w:asciiTheme="majorHAnsi" w:hAnsiTheme="majorHAnsi" w:cstheme="majorHAnsi"/>
          <w:sz w:val="19"/>
          <w:szCs w:val="19"/>
        </w:rPr>
        <w:t xml:space="preserve"> valid large-sample inference while capturing the dominant source of within-unit serial correlation (each team plays repeatedly across seasons)</w:t>
      </w:r>
      <w:r>
        <w:rPr>
          <w:rFonts w:asciiTheme="majorHAnsi" w:hAnsiTheme="majorHAnsi" w:cstheme="majorHAnsi"/>
          <w:sz w:val="19"/>
          <w:szCs w:val="19"/>
        </w:rPr>
        <w:t>.</w:t>
      </w:r>
    </w:p>
    <w:p w14:paraId="0B1EFA7F" w14:textId="77777777" w:rsidR="001B7B1B" w:rsidRPr="00642AC1" w:rsidRDefault="001B7B1B">
      <w:pPr>
        <w:spacing w:after="100" w:line="280" w:lineRule="auto"/>
        <w:jc w:val="both"/>
        <w:rPr>
          <w:rFonts w:asciiTheme="majorHAnsi" w:hAnsiTheme="majorHAnsi" w:cstheme="majorHAnsi"/>
        </w:rPr>
      </w:pPr>
    </w:p>
    <w:p w14:paraId="64D8452F" w14:textId="77777777" w:rsidR="0043177E" w:rsidRPr="00642AC1" w:rsidRDefault="00000000">
      <w:pPr>
        <w:spacing w:before="160" w:after="6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2"/>
          <w:szCs w:val="22"/>
        </w:rPr>
        <w:lastRenderedPageBreak/>
        <w:t>Bad controls</w:t>
      </w:r>
    </w:p>
    <w:p w14:paraId="57E31502" w14:textId="20930017"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If VAR changes refereeing such that fewer fouls are called because players behave more cautiously, including fouls as a control absorbs part of the causal pathway. Comparing Models 1 and 2 shows the VAR coefficient rises slightly when fouls and yellows are added (0.008 to 0.014), suggesting the pathway is small but cannot be fully ruled out.</w:t>
      </w:r>
    </w:p>
    <w:p w14:paraId="3DA9CE03" w14:textId="77777777" w:rsidR="0043177E" w:rsidRPr="00642AC1" w:rsidRDefault="00000000">
      <w:pPr>
        <w:pBdr>
          <w:bottom w:val="single" w:sz="4" w:space="2" w:color="2A9D8F"/>
        </w:pBdr>
        <w:spacing w:before="240" w:after="8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6"/>
          <w:szCs w:val="26"/>
        </w:rPr>
        <w:t>6. Heterogeneity</w:t>
      </w:r>
    </w:p>
    <w:p w14:paraId="36510C3A" w14:textId="67160902" w:rsidR="0043177E" w:rsidRPr="00642AC1" w:rsidRDefault="00AB6F51">
      <w:pPr>
        <w:spacing w:after="100" w:line="280" w:lineRule="auto"/>
        <w:jc w:val="both"/>
        <w:rPr>
          <w:rFonts w:asciiTheme="majorHAnsi" w:hAnsiTheme="majorHAnsi" w:cstheme="majorHAnsi"/>
        </w:rPr>
      </w:pPr>
      <w:r>
        <w:rPr>
          <w:rFonts w:asciiTheme="majorHAnsi" w:hAnsiTheme="majorHAnsi" w:cstheme="majorHAnsi"/>
          <w:sz w:val="19"/>
          <w:szCs w:val="19"/>
        </w:rPr>
        <w:t xml:space="preserve">The </w:t>
      </w:r>
      <w:r w:rsidR="00000000" w:rsidRPr="00642AC1">
        <w:rPr>
          <w:rFonts w:asciiTheme="majorHAnsi" w:hAnsiTheme="majorHAnsi" w:cstheme="majorHAnsi"/>
          <w:sz w:val="19"/>
          <w:szCs w:val="19"/>
        </w:rPr>
        <w:t xml:space="preserve">Figure 3 </w:t>
      </w:r>
      <w:r>
        <w:rPr>
          <w:rFonts w:asciiTheme="majorHAnsi" w:hAnsiTheme="majorHAnsi" w:cstheme="majorHAnsi"/>
          <w:sz w:val="19"/>
          <w:szCs w:val="19"/>
        </w:rPr>
        <w:t>below shows</w:t>
      </w:r>
      <w:r w:rsidR="00000000" w:rsidRPr="00642AC1">
        <w:rPr>
          <w:rFonts w:asciiTheme="majorHAnsi" w:hAnsiTheme="majorHAnsi" w:cstheme="majorHAnsi"/>
          <w:sz w:val="19"/>
          <w:szCs w:val="19"/>
        </w:rPr>
        <w:t xml:space="preserve"> league VAR effects from separate league OLS regressions with a linear time trend, home/away team </w:t>
      </w:r>
      <w:r>
        <w:rPr>
          <w:rFonts w:asciiTheme="majorHAnsi" w:hAnsiTheme="majorHAnsi" w:cstheme="majorHAnsi"/>
          <w:sz w:val="19"/>
          <w:szCs w:val="19"/>
        </w:rPr>
        <w:t>FE</w:t>
      </w:r>
      <w:r w:rsidR="00000000" w:rsidRPr="00642AC1">
        <w:rPr>
          <w:rFonts w:asciiTheme="majorHAnsi" w:hAnsiTheme="majorHAnsi" w:cstheme="majorHAnsi"/>
          <w:sz w:val="19"/>
          <w:szCs w:val="19"/>
        </w:rPr>
        <w:t xml:space="preserve">, and HC1 robust </w:t>
      </w:r>
      <w:r>
        <w:rPr>
          <w:rFonts w:asciiTheme="majorHAnsi" w:hAnsiTheme="majorHAnsi" w:cstheme="majorHAnsi"/>
          <w:sz w:val="19"/>
          <w:szCs w:val="19"/>
        </w:rPr>
        <w:t>SE</w:t>
      </w:r>
      <w:r w:rsidR="00000000" w:rsidRPr="00642AC1">
        <w:rPr>
          <w:rFonts w:asciiTheme="majorHAnsi" w:hAnsiTheme="majorHAnsi" w:cstheme="majorHAnsi"/>
          <w:sz w:val="19"/>
          <w:szCs w:val="19"/>
        </w:rPr>
        <w:t>. The direction of the VAR effect differs across leagues: the Bundesliga shows a negative estimate (</w:t>
      </w:r>
      <w:r w:rsidR="00346AFD" w:rsidRPr="00346AFD">
        <w:rPr>
          <w:rFonts w:asciiTheme="majorHAnsi" w:hAnsiTheme="majorHAnsi" w:cstheme="majorHAnsi"/>
          <w:sz w:val="19"/>
          <w:szCs w:val="19"/>
        </w:rPr>
        <w:t>β</w:t>
      </w:r>
      <w:r w:rsidR="00000000" w:rsidRPr="00642AC1">
        <w:rPr>
          <w:rFonts w:asciiTheme="majorHAnsi" w:hAnsiTheme="majorHAnsi" w:cstheme="majorHAnsi"/>
          <w:sz w:val="19"/>
          <w:szCs w:val="19"/>
        </w:rPr>
        <w:t xml:space="preserve"> = -0.022, 95% CI </w:t>
      </w:r>
      <w:r w:rsidR="00346AFD">
        <w:rPr>
          <w:rFonts w:asciiTheme="majorHAnsi" w:hAnsiTheme="majorHAnsi" w:cstheme="majorHAnsi"/>
          <w:sz w:val="19"/>
          <w:szCs w:val="19"/>
        </w:rPr>
        <w:t xml:space="preserve">between </w:t>
      </w:r>
      <w:r w:rsidR="00000000" w:rsidRPr="00642AC1">
        <w:rPr>
          <w:rFonts w:asciiTheme="majorHAnsi" w:hAnsiTheme="majorHAnsi" w:cstheme="majorHAnsi"/>
          <w:sz w:val="19"/>
          <w:szCs w:val="19"/>
        </w:rPr>
        <w:t>[-0.075, +0.030]), Ligue 1 a positive one (</w:t>
      </w:r>
      <w:r w:rsidR="00346AFD" w:rsidRPr="00346AFD">
        <w:rPr>
          <w:rFonts w:asciiTheme="majorHAnsi" w:hAnsiTheme="majorHAnsi" w:cstheme="majorHAnsi"/>
          <w:sz w:val="19"/>
          <w:szCs w:val="19"/>
        </w:rPr>
        <w:t>β</w:t>
      </w:r>
      <w:r w:rsidR="00000000" w:rsidRPr="00642AC1">
        <w:rPr>
          <w:rFonts w:asciiTheme="majorHAnsi" w:hAnsiTheme="majorHAnsi" w:cstheme="majorHAnsi"/>
          <w:sz w:val="19"/>
          <w:szCs w:val="19"/>
        </w:rPr>
        <w:t xml:space="preserve"> = +0.031, 95% CI </w:t>
      </w:r>
      <w:r w:rsidR="00346AFD">
        <w:rPr>
          <w:rFonts w:asciiTheme="majorHAnsi" w:hAnsiTheme="majorHAnsi" w:cstheme="majorHAnsi"/>
          <w:sz w:val="19"/>
          <w:szCs w:val="19"/>
        </w:rPr>
        <w:t xml:space="preserve">between </w:t>
      </w:r>
      <w:r w:rsidR="00000000" w:rsidRPr="00642AC1">
        <w:rPr>
          <w:rFonts w:asciiTheme="majorHAnsi" w:hAnsiTheme="majorHAnsi" w:cstheme="majorHAnsi"/>
          <w:sz w:val="19"/>
          <w:szCs w:val="19"/>
        </w:rPr>
        <w:t>[-0.032, +0.094]), and the Premier League is near zero (</w:t>
      </w:r>
      <w:r w:rsidR="00346AFD" w:rsidRPr="00346AFD">
        <w:rPr>
          <w:rFonts w:asciiTheme="majorHAnsi" w:hAnsiTheme="majorHAnsi" w:cstheme="majorHAnsi"/>
          <w:sz w:val="19"/>
          <w:szCs w:val="19"/>
        </w:rPr>
        <w:t>β</w:t>
      </w:r>
      <w:r w:rsidR="00000000" w:rsidRPr="00642AC1">
        <w:rPr>
          <w:rFonts w:asciiTheme="majorHAnsi" w:hAnsiTheme="majorHAnsi" w:cstheme="majorHAnsi"/>
          <w:sz w:val="19"/>
          <w:szCs w:val="19"/>
        </w:rPr>
        <w:t xml:space="preserve"> = +0.005, 95% CI </w:t>
      </w:r>
      <w:r w:rsidR="00346AFD">
        <w:rPr>
          <w:rFonts w:asciiTheme="majorHAnsi" w:hAnsiTheme="majorHAnsi" w:cstheme="majorHAnsi"/>
          <w:sz w:val="19"/>
          <w:szCs w:val="19"/>
        </w:rPr>
        <w:t xml:space="preserve">between </w:t>
      </w:r>
      <w:r w:rsidR="00000000" w:rsidRPr="00642AC1">
        <w:rPr>
          <w:rFonts w:asciiTheme="majorHAnsi" w:hAnsiTheme="majorHAnsi" w:cstheme="majorHAnsi"/>
          <w:sz w:val="19"/>
          <w:szCs w:val="19"/>
        </w:rPr>
        <w:t xml:space="preserve">[-0.042, +0.051]). All </w:t>
      </w:r>
      <w:r w:rsidR="00346AFD">
        <w:rPr>
          <w:rFonts w:asciiTheme="majorHAnsi" w:hAnsiTheme="majorHAnsi" w:cstheme="majorHAnsi"/>
          <w:sz w:val="19"/>
          <w:szCs w:val="19"/>
        </w:rPr>
        <w:t>CIs</w:t>
      </w:r>
      <w:r w:rsidR="00000000" w:rsidRPr="00642AC1">
        <w:rPr>
          <w:rFonts w:asciiTheme="majorHAnsi" w:hAnsiTheme="majorHAnsi" w:cstheme="majorHAnsi"/>
          <w:sz w:val="19"/>
          <w:szCs w:val="19"/>
        </w:rPr>
        <w:t xml:space="preserve"> </w:t>
      </w:r>
      <w:r w:rsidR="00346AFD">
        <w:rPr>
          <w:rFonts w:asciiTheme="majorHAnsi" w:hAnsiTheme="majorHAnsi" w:cstheme="majorHAnsi"/>
          <w:sz w:val="19"/>
          <w:szCs w:val="19"/>
        </w:rPr>
        <w:t xml:space="preserve">include </w:t>
      </w:r>
      <w:r w:rsidR="00000000" w:rsidRPr="00642AC1">
        <w:rPr>
          <w:rFonts w:asciiTheme="majorHAnsi" w:hAnsiTheme="majorHAnsi" w:cstheme="majorHAnsi"/>
          <w:sz w:val="19"/>
          <w:szCs w:val="19"/>
        </w:rPr>
        <w:t>zero.</w:t>
      </w:r>
    </w:p>
    <w:p w14:paraId="5E4EDD51" w14:textId="49D3180C"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 xml:space="preserve">This heterogeneity is </w:t>
      </w:r>
      <w:r w:rsidR="00346AFD">
        <w:rPr>
          <w:rFonts w:asciiTheme="majorHAnsi" w:hAnsiTheme="majorHAnsi" w:cstheme="majorHAnsi"/>
          <w:sz w:val="19"/>
          <w:szCs w:val="19"/>
        </w:rPr>
        <w:t xml:space="preserve">very </w:t>
      </w:r>
      <w:r w:rsidRPr="00642AC1">
        <w:rPr>
          <w:rFonts w:asciiTheme="majorHAnsi" w:hAnsiTheme="majorHAnsi" w:cstheme="majorHAnsi"/>
          <w:sz w:val="19"/>
          <w:szCs w:val="19"/>
        </w:rPr>
        <w:t>informative. Ligue 1 has consistently the highest baseline red card rate (0.25 per match pre-VAR), suggesting referees there may be more responsive to VAR's prompts to upgrade decisions. The Bundesliga's negative estimate may reflect a deterrence effect</w:t>
      </w:r>
      <w:r w:rsidR="00570D37" w:rsidRPr="00642AC1">
        <w:rPr>
          <w:rFonts w:asciiTheme="majorHAnsi" w:hAnsiTheme="majorHAnsi" w:cstheme="majorHAnsi"/>
          <w:sz w:val="19"/>
          <w:szCs w:val="19"/>
        </w:rPr>
        <w:t xml:space="preserve">, </w:t>
      </w:r>
      <w:r w:rsidRPr="00642AC1">
        <w:rPr>
          <w:rFonts w:asciiTheme="majorHAnsi" w:hAnsiTheme="majorHAnsi" w:cstheme="majorHAnsi"/>
          <w:sz w:val="19"/>
          <w:szCs w:val="19"/>
        </w:rPr>
        <w:t>players behaving more cautiously under VAR surveillance or simply noise given the limited pre-VAR window.</w:t>
      </w:r>
      <w:r w:rsidR="00346AFD">
        <w:rPr>
          <w:rFonts w:asciiTheme="majorHAnsi" w:hAnsiTheme="majorHAnsi" w:cstheme="majorHAnsi"/>
          <w:sz w:val="19"/>
          <w:szCs w:val="19"/>
        </w:rPr>
        <w:t xml:space="preserve"> The PL has little change in behavior.</w:t>
      </w:r>
      <w:r w:rsidRPr="00642AC1">
        <w:rPr>
          <w:rFonts w:asciiTheme="majorHAnsi" w:hAnsiTheme="majorHAnsi" w:cstheme="majorHAnsi"/>
          <w:sz w:val="19"/>
          <w:szCs w:val="19"/>
        </w:rPr>
        <w:t xml:space="preserve"> These results motivate future work with more leagues and longer panels.</w:t>
      </w:r>
    </w:p>
    <w:p w14:paraId="128D5AE0" w14:textId="77777777" w:rsidR="0043177E" w:rsidRPr="00642AC1" w:rsidRDefault="0043177E">
      <w:pPr>
        <w:spacing w:after="60"/>
        <w:rPr>
          <w:rFonts w:asciiTheme="majorHAnsi" w:hAnsiTheme="majorHAnsi" w:cstheme="majorHAnsi"/>
        </w:rPr>
      </w:pPr>
    </w:p>
    <w:p w14:paraId="53E3ECCF" w14:textId="45C4796D" w:rsidR="0043177E" w:rsidRPr="00642AC1" w:rsidRDefault="00AE6D23">
      <w:pPr>
        <w:spacing w:before="80" w:after="40"/>
        <w:jc w:val="center"/>
        <w:rPr>
          <w:rFonts w:asciiTheme="majorHAnsi" w:hAnsiTheme="majorHAnsi" w:cstheme="majorHAnsi"/>
        </w:rPr>
      </w:pPr>
      <w:r w:rsidRPr="00AE6D23">
        <w:rPr>
          <w:rFonts w:asciiTheme="majorHAnsi" w:hAnsiTheme="majorHAnsi" w:cstheme="majorHAnsi"/>
        </w:rPr>
        <w:drawing>
          <wp:inline distT="0" distB="0" distL="0" distR="0" wp14:anchorId="1D733320" wp14:editId="15422130">
            <wp:extent cx="5064981" cy="2495897"/>
            <wp:effectExtent l="0" t="0" r="2540" b="0"/>
            <wp:docPr id="44173460"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3460" name="Picture 1" descr="A graph with different colored squares&#10;&#10;Description automatically generated"/>
                    <pic:cNvPicPr/>
                  </pic:nvPicPr>
                  <pic:blipFill>
                    <a:blip r:embed="rId10"/>
                    <a:stretch>
                      <a:fillRect/>
                    </a:stretch>
                  </pic:blipFill>
                  <pic:spPr>
                    <a:xfrm>
                      <a:off x="0" y="0"/>
                      <a:ext cx="5067577" cy="2497176"/>
                    </a:xfrm>
                    <a:prstGeom prst="rect">
                      <a:avLst/>
                    </a:prstGeom>
                  </pic:spPr>
                </pic:pic>
              </a:graphicData>
            </a:graphic>
          </wp:inline>
        </w:drawing>
      </w:r>
    </w:p>
    <w:p w14:paraId="6A00AC32" w14:textId="77777777" w:rsidR="0043177E" w:rsidRPr="00642AC1" w:rsidRDefault="00000000">
      <w:pPr>
        <w:spacing w:before="40" w:after="160"/>
        <w:jc w:val="center"/>
        <w:rPr>
          <w:rFonts w:asciiTheme="majorHAnsi" w:hAnsiTheme="majorHAnsi" w:cstheme="majorHAnsi"/>
        </w:rPr>
      </w:pPr>
      <w:r w:rsidRPr="00642AC1">
        <w:rPr>
          <w:rFonts w:asciiTheme="majorHAnsi" w:hAnsiTheme="majorHAnsi" w:cstheme="majorHAnsi"/>
          <w:i/>
          <w:iCs/>
          <w:color w:val="555555"/>
          <w:sz w:val="17"/>
          <w:szCs w:val="17"/>
        </w:rPr>
        <w:t>Figure 3: Per-league VAR coefficients with 95% CIs. OLS with linear time trend, home/away team FEs, HC1 robust SEs. All intervals include zero.</w:t>
      </w:r>
    </w:p>
    <w:p w14:paraId="36DAE2B1" w14:textId="77777777" w:rsidR="0043177E" w:rsidRPr="00642AC1" w:rsidRDefault="00000000">
      <w:pPr>
        <w:pBdr>
          <w:bottom w:val="single" w:sz="4" w:space="2" w:color="2A9D8F"/>
        </w:pBdr>
        <w:spacing w:before="240" w:after="80"/>
        <w:rPr>
          <w:rFonts w:asciiTheme="majorHAnsi" w:hAnsiTheme="majorHAnsi" w:cstheme="majorHAnsi"/>
          <w:color w:val="05676C" w:themeColor="accent3" w:themeShade="80"/>
        </w:rPr>
      </w:pPr>
      <w:r w:rsidRPr="00642AC1">
        <w:rPr>
          <w:rFonts w:asciiTheme="majorHAnsi" w:hAnsiTheme="majorHAnsi" w:cstheme="majorHAnsi"/>
          <w:b/>
          <w:bCs/>
          <w:color w:val="05676C" w:themeColor="accent3" w:themeShade="80"/>
          <w:sz w:val="26"/>
          <w:szCs w:val="26"/>
        </w:rPr>
        <w:t>7. Conclusion</w:t>
      </w:r>
    </w:p>
    <w:p w14:paraId="063762B1" w14:textId="1FEA4B9E"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Th</w:t>
      </w:r>
      <w:r w:rsidR="00346AFD">
        <w:rPr>
          <w:rFonts w:asciiTheme="majorHAnsi" w:hAnsiTheme="majorHAnsi" w:cstheme="majorHAnsi"/>
          <w:sz w:val="19"/>
          <w:szCs w:val="19"/>
        </w:rPr>
        <w:t xml:space="preserve">e question I sought to answer was </w:t>
      </w:r>
      <w:r w:rsidRPr="00642AC1">
        <w:rPr>
          <w:rFonts w:asciiTheme="majorHAnsi" w:hAnsiTheme="majorHAnsi" w:cstheme="majorHAnsi"/>
          <w:sz w:val="19"/>
          <w:szCs w:val="19"/>
        </w:rPr>
        <w:t xml:space="preserve">whether VAR causally increases red cards in elite European football. Across four specifications </w:t>
      </w:r>
      <w:r w:rsidR="00570D37" w:rsidRPr="00642AC1">
        <w:rPr>
          <w:rFonts w:asciiTheme="majorHAnsi" w:hAnsiTheme="majorHAnsi" w:cstheme="majorHAnsi"/>
          <w:sz w:val="19"/>
          <w:szCs w:val="19"/>
        </w:rPr>
        <w:t>(</w:t>
      </w:r>
      <w:r w:rsidRPr="00642AC1">
        <w:rPr>
          <w:rFonts w:asciiTheme="majorHAnsi" w:hAnsiTheme="majorHAnsi" w:cstheme="majorHAnsi"/>
          <w:sz w:val="19"/>
          <w:szCs w:val="19"/>
        </w:rPr>
        <w:t>TWFE OLS, a narrow-window robustness check, and Poisson MLE</w:t>
      </w:r>
      <w:r w:rsidR="00570D37" w:rsidRPr="00642AC1">
        <w:rPr>
          <w:rFonts w:asciiTheme="majorHAnsi" w:hAnsiTheme="majorHAnsi" w:cstheme="majorHAnsi"/>
          <w:sz w:val="19"/>
          <w:szCs w:val="19"/>
        </w:rPr>
        <w:t>)</w:t>
      </w:r>
      <w:r w:rsidRPr="00642AC1">
        <w:rPr>
          <w:rFonts w:asciiTheme="majorHAnsi" w:hAnsiTheme="majorHAnsi" w:cstheme="majorHAnsi"/>
          <w:sz w:val="19"/>
          <w:szCs w:val="19"/>
        </w:rPr>
        <w:t xml:space="preserve"> the pooled estimate is </w:t>
      </w:r>
      <w:r w:rsidR="00346AFD">
        <w:rPr>
          <w:rFonts w:asciiTheme="majorHAnsi" w:hAnsiTheme="majorHAnsi" w:cstheme="majorHAnsi"/>
          <w:sz w:val="19"/>
          <w:szCs w:val="19"/>
        </w:rPr>
        <w:t xml:space="preserve">repeatedly </w:t>
      </w:r>
      <w:r w:rsidRPr="00642AC1">
        <w:rPr>
          <w:rFonts w:asciiTheme="majorHAnsi" w:hAnsiTheme="majorHAnsi" w:cstheme="majorHAnsi"/>
          <w:sz w:val="19"/>
          <w:szCs w:val="19"/>
        </w:rPr>
        <w:t>positive (+0.014 red cards per match; IRR = 1.092) but statistically indistinguishable from zero. Standard errors clustered at the team level (</w:t>
      </w:r>
      <w:r w:rsidR="00346AFD">
        <w:rPr>
          <w:rFonts w:asciiTheme="majorHAnsi" w:hAnsiTheme="majorHAnsi" w:cstheme="majorHAnsi"/>
          <w:sz w:val="19"/>
          <w:szCs w:val="19"/>
        </w:rPr>
        <w:t>N</w:t>
      </w:r>
      <w:r w:rsidRPr="00642AC1">
        <w:rPr>
          <w:rFonts w:asciiTheme="majorHAnsi" w:hAnsiTheme="majorHAnsi" w:cstheme="majorHAnsi"/>
          <w:sz w:val="19"/>
          <w:szCs w:val="19"/>
        </w:rPr>
        <w:t>=</w:t>
      </w:r>
      <w:r w:rsidR="00346AFD">
        <w:rPr>
          <w:rFonts w:asciiTheme="majorHAnsi" w:hAnsiTheme="majorHAnsi" w:cstheme="majorHAnsi"/>
          <w:sz w:val="19"/>
          <w:szCs w:val="19"/>
        </w:rPr>
        <w:t xml:space="preserve"> </w:t>
      </w:r>
      <w:r w:rsidRPr="00642AC1">
        <w:rPr>
          <w:rFonts w:asciiTheme="majorHAnsi" w:hAnsiTheme="majorHAnsi" w:cstheme="majorHAnsi"/>
          <w:sz w:val="19"/>
          <w:szCs w:val="19"/>
        </w:rPr>
        <w:t xml:space="preserve">98) reflect within-team serial correlation; the underlying identification rests on three league-level policy shocks, and results should </w:t>
      </w:r>
      <w:r w:rsidR="00346AFD">
        <w:rPr>
          <w:rFonts w:asciiTheme="majorHAnsi" w:hAnsiTheme="majorHAnsi" w:cstheme="majorHAnsi"/>
          <w:sz w:val="19"/>
          <w:szCs w:val="19"/>
        </w:rPr>
        <w:t xml:space="preserve">thus be carefully </w:t>
      </w:r>
      <w:r w:rsidRPr="00642AC1">
        <w:rPr>
          <w:rFonts w:asciiTheme="majorHAnsi" w:hAnsiTheme="majorHAnsi" w:cstheme="majorHAnsi"/>
          <w:sz w:val="19"/>
          <w:szCs w:val="19"/>
        </w:rPr>
        <w:t>interpreted.</w:t>
      </w:r>
    </w:p>
    <w:p w14:paraId="15D1D13B" w14:textId="77777777" w:rsidR="0043177E" w:rsidRPr="00642AC1" w:rsidRDefault="00000000">
      <w:pPr>
        <w:spacing w:after="100" w:line="280" w:lineRule="auto"/>
        <w:jc w:val="both"/>
        <w:rPr>
          <w:rFonts w:asciiTheme="majorHAnsi" w:hAnsiTheme="majorHAnsi" w:cstheme="majorHAnsi"/>
        </w:rPr>
      </w:pPr>
      <w:r w:rsidRPr="00642AC1">
        <w:rPr>
          <w:rFonts w:asciiTheme="majorHAnsi" w:hAnsiTheme="majorHAnsi" w:cstheme="majorHAnsi"/>
          <w:sz w:val="19"/>
          <w:szCs w:val="19"/>
        </w:rPr>
        <w:t>The heterogeneity results are the most informative finding: VAR's effect varies across leagues, with opposing signs for the Bundesliga and Ligue 1. This suggests the technology's impact is mediated by pre-existing refereeing culture rather than being a uniform mechanical effect.</w:t>
      </w:r>
    </w:p>
    <w:p w14:paraId="2D548F5D" w14:textId="2DB18E23" w:rsidR="0043177E" w:rsidRPr="00642AC1" w:rsidRDefault="00346AFD">
      <w:pPr>
        <w:spacing w:after="100" w:line="280" w:lineRule="auto"/>
        <w:jc w:val="both"/>
        <w:rPr>
          <w:rFonts w:asciiTheme="majorHAnsi" w:hAnsiTheme="majorHAnsi" w:cstheme="majorHAnsi"/>
        </w:rPr>
      </w:pPr>
      <w:r>
        <w:rPr>
          <w:rFonts w:asciiTheme="majorHAnsi" w:hAnsiTheme="majorHAnsi" w:cstheme="majorHAnsi"/>
          <w:sz w:val="19"/>
          <w:szCs w:val="19"/>
        </w:rPr>
        <w:t xml:space="preserve">The key policy take-away I see here is that </w:t>
      </w:r>
      <w:r w:rsidR="00000000" w:rsidRPr="00642AC1">
        <w:rPr>
          <w:rFonts w:asciiTheme="majorHAnsi" w:hAnsiTheme="majorHAnsi" w:cstheme="majorHAnsi"/>
          <w:sz w:val="19"/>
          <w:szCs w:val="19"/>
        </w:rPr>
        <w:t>governing bodies should not expect VAR to uniformly alter red card rates across all competitions. If reducing dismissals is a policy goal, VAR implementation should be paired with referee training calibrated to each league's baseline style</w:t>
      </w:r>
      <w:r>
        <w:rPr>
          <w:rFonts w:asciiTheme="majorHAnsi" w:hAnsiTheme="majorHAnsi" w:cstheme="majorHAnsi"/>
          <w:sz w:val="19"/>
          <w:szCs w:val="19"/>
        </w:rPr>
        <w:t xml:space="preserve"> and culture</w:t>
      </w:r>
      <w:r w:rsidR="00000000" w:rsidRPr="00642AC1">
        <w:rPr>
          <w:rFonts w:asciiTheme="majorHAnsi" w:hAnsiTheme="majorHAnsi" w:cstheme="majorHAnsi"/>
          <w:sz w:val="19"/>
          <w:szCs w:val="19"/>
        </w:rPr>
        <w:t xml:space="preserve">. </w:t>
      </w:r>
      <w:r>
        <w:rPr>
          <w:rFonts w:asciiTheme="majorHAnsi" w:hAnsiTheme="majorHAnsi" w:cstheme="majorHAnsi"/>
          <w:sz w:val="19"/>
          <w:szCs w:val="19"/>
        </w:rPr>
        <w:t xml:space="preserve">The way I can expand the research limits and make it more informative would be through </w:t>
      </w:r>
      <w:r w:rsidR="00000000" w:rsidRPr="00642AC1">
        <w:rPr>
          <w:rFonts w:asciiTheme="majorHAnsi" w:hAnsiTheme="majorHAnsi" w:cstheme="majorHAnsi"/>
          <w:sz w:val="19"/>
          <w:szCs w:val="19"/>
        </w:rPr>
        <w:t xml:space="preserve">broader league coverage and longer pre-VAR panels </w:t>
      </w:r>
      <w:r>
        <w:rPr>
          <w:rFonts w:asciiTheme="majorHAnsi" w:hAnsiTheme="majorHAnsi" w:cstheme="majorHAnsi"/>
          <w:sz w:val="19"/>
          <w:szCs w:val="19"/>
        </w:rPr>
        <w:t xml:space="preserve">as this </w:t>
      </w:r>
      <w:r w:rsidR="00000000" w:rsidRPr="00642AC1">
        <w:rPr>
          <w:rFonts w:asciiTheme="majorHAnsi" w:hAnsiTheme="majorHAnsi" w:cstheme="majorHAnsi"/>
          <w:sz w:val="19"/>
          <w:szCs w:val="19"/>
        </w:rPr>
        <w:t xml:space="preserve">would substantially </w:t>
      </w:r>
      <w:r>
        <w:rPr>
          <w:rFonts w:asciiTheme="majorHAnsi" w:hAnsiTheme="majorHAnsi" w:cstheme="majorHAnsi"/>
          <w:sz w:val="19"/>
          <w:szCs w:val="19"/>
        </w:rPr>
        <w:t xml:space="preserve">improve </w:t>
      </w:r>
      <w:r w:rsidR="00000000" w:rsidRPr="00642AC1">
        <w:rPr>
          <w:rFonts w:asciiTheme="majorHAnsi" w:hAnsiTheme="majorHAnsi" w:cstheme="majorHAnsi"/>
          <w:sz w:val="19"/>
          <w:szCs w:val="19"/>
        </w:rPr>
        <w:t>identification.</w:t>
      </w:r>
    </w:p>
    <w:sectPr w:rsidR="0043177E" w:rsidRPr="00642AC1">
      <w:headerReference w:type="default" r:id="rId11"/>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121F31" w14:textId="77777777" w:rsidR="001E5589" w:rsidRDefault="001E5589" w:rsidP="00570D37">
      <w:r>
        <w:separator/>
      </w:r>
    </w:p>
  </w:endnote>
  <w:endnote w:type="continuationSeparator" w:id="0">
    <w:p w14:paraId="2F528923" w14:textId="77777777" w:rsidR="001E5589" w:rsidRDefault="001E5589" w:rsidP="00570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AA459E" w14:textId="77777777" w:rsidR="001E5589" w:rsidRDefault="001E5589" w:rsidP="00570D37">
      <w:r>
        <w:separator/>
      </w:r>
    </w:p>
  </w:footnote>
  <w:footnote w:type="continuationSeparator" w:id="0">
    <w:p w14:paraId="356280B7" w14:textId="77777777" w:rsidR="001E5589" w:rsidRDefault="001E5589" w:rsidP="00570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0FF2B" w14:textId="22EC8F1B" w:rsidR="00570D37" w:rsidRDefault="00570D37">
    <w:pPr>
      <w:pStyle w:val="Header"/>
    </w:pPr>
    <w:r>
      <w:t>Shehryar Hassan</w:t>
    </w:r>
    <w:r>
      <w:tab/>
      <w:t xml:space="preserve">DA4 </w:t>
    </w:r>
    <w:r w:rsidR="00990FB6">
      <w:t xml:space="preserve">Final </w:t>
    </w:r>
    <w:r>
      <w:t>Term Project</w:t>
    </w:r>
    <w:r>
      <w:tab/>
      <w:t>CEU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CC5451"/>
    <w:multiLevelType w:val="hybridMultilevel"/>
    <w:tmpl w:val="F17235AE"/>
    <w:lvl w:ilvl="0" w:tplc="9D1CE034">
      <w:start w:val="1"/>
      <w:numFmt w:val="bullet"/>
      <w:lvlText w:val="●"/>
      <w:lvlJc w:val="left"/>
      <w:pPr>
        <w:ind w:left="720" w:hanging="360"/>
      </w:pPr>
    </w:lvl>
    <w:lvl w:ilvl="1" w:tplc="DD78DCE6">
      <w:start w:val="1"/>
      <w:numFmt w:val="bullet"/>
      <w:lvlText w:val="○"/>
      <w:lvlJc w:val="left"/>
      <w:pPr>
        <w:ind w:left="1440" w:hanging="360"/>
      </w:pPr>
    </w:lvl>
    <w:lvl w:ilvl="2" w:tplc="EF9E234C">
      <w:start w:val="1"/>
      <w:numFmt w:val="bullet"/>
      <w:lvlText w:val="■"/>
      <w:lvlJc w:val="left"/>
      <w:pPr>
        <w:ind w:left="2160" w:hanging="360"/>
      </w:pPr>
    </w:lvl>
    <w:lvl w:ilvl="3" w:tplc="A06E2724">
      <w:start w:val="1"/>
      <w:numFmt w:val="bullet"/>
      <w:lvlText w:val="●"/>
      <w:lvlJc w:val="left"/>
      <w:pPr>
        <w:ind w:left="2880" w:hanging="360"/>
      </w:pPr>
    </w:lvl>
    <w:lvl w:ilvl="4" w:tplc="F77CD5E6">
      <w:start w:val="1"/>
      <w:numFmt w:val="bullet"/>
      <w:lvlText w:val="○"/>
      <w:lvlJc w:val="left"/>
      <w:pPr>
        <w:ind w:left="3600" w:hanging="360"/>
      </w:pPr>
    </w:lvl>
    <w:lvl w:ilvl="5" w:tplc="99B07016">
      <w:start w:val="1"/>
      <w:numFmt w:val="bullet"/>
      <w:lvlText w:val="■"/>
      <w:lvlJc w:val="left"/>
      <w:pPr>
        <w:ind w:left="4320" w:hanging="360"/>
      </w:pPr>
    </w:lvl>
    <w:lvl w:ilvl="6" w:tplc="6B6A428A">
      <w:start w:val="1"/>
      <w:numFmt w:val="bullet"/>
      <w:lvlText w:val="●"/>
      <w:lvlJc w:val="left"/>
      <w:pPr>
        <w:ind w:left="5040" w:hanging="360"/>
      </w:pPr>
    </w:lvl>
    <w:lvl w:ilvl="7" w:tplc="252A2B9A">
      <w:start w:val="1"/>
      <w:numFmt w:val="bullet"/>
      <w:lvlText w:val="●"/>
      <w:lvlJc w:val="left"/>
      <w:pPr>
        <w:ind w:left="5760" w:hanging="360"/>
      </w:pPr>
    </w:lvl>
    <w:lvl w:ilvl="8" w:tplc="06DEAE72">
      <w:start w:val="1"/>
      <w:numFmt w:val="bullet"/>
      <w:lvlText w:val="●"/>
      <w:lvlJc w:val="left"/>
      <w:pPr>
        <w:ind w:left="6480" w:hanging="360"/>
      </w:pPr>
    </w:lvl>
  </w:abstractNum>
  <w:num w:numId="1" w16cid:durableId="608900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77E"/>
    <w:rsid w:val="001B7B1B"/>
    <w:rsid w:val="001E5589"/>
    <w:rsid w:val="00346AFD"/>
    <w:rsid w:val="0043177E"/>
    <w:rsid w:val="00570D37"/>
    <w:rsid w:val="00587B92"/>
    <w:rsid w:val="00642AC1"/>
    <w:rsid w:val="008878BB"/>
    <w:rsid w:val="00915C6A"/>
    <w:rsid w:val="00945AFB"/>
    <w:rsid w:val="00990FB6"/>
    <w:rsid w:val="00AB6F51"/>
    <w:rsid w:val="00AE6D23"/>
    <w:rsid w:val="00CF6FAA"/>
    <w:rsid w:val="00F12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ED900"/>
  <w15:docId w15:val="{7F92F21F-A43F-48C5-B818-A8047CD25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0D37"/>
    <w:pPr>
      <w:tabs>
        <w:tab w:val="center" w:pos="4680"/>
        <w:tab w:val="right" w:pos="9360"/>
      </w:tabs>
    </w:pPr>
  </w:style>
  <w:style w:type="character" w:customStyle="1" w:styleId="HeaderChar">
    <w:name w:val="Header Char"/>
    <w:basedOn w:val="DefaultParagraphFont"/>
    <w:link w:val="Header"/>
    <w:uiPriority w:val="99"/>
    <w:rsid w:val="00570D37"/>
  </w:style>
  <w:style w:type="paragraph" w:styleId="Footer">
    <w:name w:val="footer"/>
    <w:basedOn w:val="Normal"/>
    <w:link w:val="FooterChar"/>
    <w:uiPriority w:val="99"/>
    <w:unhideWhenUsed/>
    <w:rsid w:val="00570D37"/>
    <w:pPr>
      <w:tabs>
        <w:tab w:val="center" w:pos="4680"/>
        <w:tab w:val="right" w:pos="9360"/>
      </w:tabs>
    </w:pPr>
  </w:style>
  <w:style w:type="character" w:customStyle="1" w:styleId="FooterChar">
    <w:name w:val="Footer Char"/>
    <w:basedOn w:val="DefaultParagraphFont"/>
    <w:link w:val="Footer"/>
    <w:uiPriority w:val="99"/>
    <w:rsid w:val="00570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295BB-3E3B-490D-823E-73F236A74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Shehryar Hassan</dc:creator>
  <cp:lastModifiedBy>Shehryar Hassan</cp:lastModifiedBy>
  <cp:revision>5</cp:revision>
  <cp:lastPrinted>2026-04-05T16:43:00Z</cp:lastPrinted>
  <dcterms:created xsi:type="dcterms:W3CDTF">2026-04-05T16:43:00Z</dcterms:created>
  <dcterms:modified xsi:type="dcterms:W3CDTF">2026-04-05T16:44:00Z</dcterms:modified>
</cp:coreProperties>
</file>