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rFonts w:ascii="Calibri" w:cs="Calibri" w:eastAsia="Calibri" w:hAnsi="Calibri"/>
          <w:sz w:val="21"/>
          <w:szCs w:val="21"/>
        </w:rPr>
        <w:t xml:space="preserve"/>
      </w:r>
    </w:p>
    <w:p>
      <w:pPr>
        <w:spacing w:after="40"/>
      </w:pPr>
      <w:r>
        <w:rPr>
          <w:rFonts w:ascii="Calibri" w:cs="Calibri" w:eastAsia="Calibri" w:hAnsi="Calibri"/>
          <w:b/>
          <w:bCs/>
          <w:color w:val="14213D"/>
          <w:spacing w:val="60"/>
          <w:sz w:val="40"/>
          <w:szCs w:val="40"/>
        </w:rPr>
        <w:t xml:space="preserve">ORBIT</w:t>
      </w:r>
      <w:r>
        <w:rPr>
          <w:rFonts w:ascii="Calibri" w:cs="Calibri" w:eastAsia="Calibri" w:hAnsi="Calibri"/>
          <w:b/>
          <w:bCs/>
          <w:color w:val="2563EB"/>
          <w:sz w:val="28"/>
          <w:szCs w:val="28"/>
        </w:rPr>
        <w:t xml:space="preserve">  ●</w:t>
      </w:r>
    </w:p>
    <w:p>
      <w:pPr>
        <w:spacing w:after="320"/>
      </w:pPr>
      <w:r>
        <w:rPr>
          <w:rFonts w:ascii="Calibri" w:cs="Calibri" w:eastAsia="Calibri" w:hAnsi="Calibri"/>
          <w:caps/>
          <w:color w:val="5B6472"/>
          <w:spacing w:val="40"/>
          <w:sz w:val="18"/>
          <w:szCs w:val="18"/>
        </w:rPr>
        <w:t xml:space="preserve">Master Services Agreement</w:t>
      </w:r>
    </w:p>
    <w:p>
      <w:pPr>
        <w:spacing w:after="60"/>
      </w:pPr>
      <w:r>
        <w:rPr>
          <w:rFonts w:ascii="Calibri" w:cs="Calibri" w:eastAsia="Calibri" w:hAnsi="Calibri"/>
          <w:b/>
          <w:bCs/>
          <w:color w:val="14213D"/>
          <w:sz w:val="52"/>
          <w:szCs w:val="52"/>
        </w:rPr>
        <w:t xml:space="preserve">Master Services</w:t>
      </w:r>
      <w:r>
        <w:rPr>
          <w:rFonts w:ascii="Calibri" w:cs="Calibri" w:eastAsia="Calibri" w:hAnsi="Calibri"/>
          <w:b/>
          <w:bCs/>
          <w:color w:val="14213D"/>
          <w:sz w:val="52"/>
          <w:szCs w:val="52"/>
        </w:rPr>
        <w:br/>
        <w:t xml:space="preserve">Agreement</w:t>
      </w:r>
    </w:p>
    <w:p>
      <w:pPr>
        <w:pBdr>
          <w:bottom w:val="single" w:color="2563EB" w:sz="20" w:space="6"/>
        </w:pBdr>
        <w:spacing w:after="200"/>
      </w:pPr>
      <w:r>
        <w:rPr>
          <w:rFonts w:ascii="Calibri" w:cs="Calibri" w:eastAsia="Calibri" w:hAnsi="Calibri"/>
          <w:color w:val="5B6472"/>
          <w:sz w:val="24"/>
          <w:szCs w:val="24"/>
        </w:rPr>
        <w:t xml:space="preserve">For software design, development and related services</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600"/>
        <w:gridCol w:w="6400"/>
      </w:tblGrid>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14213D"/>
                <w:spacing w:val="20"/>
                <w:sz w:val="18"/>
                <w:szCs w:val="18"/>
              </w:rPr>
              <w:t xml:space="preserve">Between</w:t>
            </w:r>
          </w:p>
        </w:tc>
        <w:tc>
          <w:tcPr>
            <w:tcW w:type="dxa" w:w="6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b/>
                <w:bCs/>
                <w:color w:val="B54708"/>
                <w:sz w:val="21"/>
                <w:szCs w:val="21"/>
              </w:rPr>
              <w:t xml:space="preserve">[Orbit legal name]</w:t>
            </w:r>
            <w:r>
              <w:rPr>
                <w:rFonts w:ascii="Calibri" w:cs="Calibri" w:eastAsia="Calibri" w:hAnsi="Calibri"/>
                <w:color w:val="222831"/>
                <w:sz w:val="20"/>
                <w:szCs w:val="20"/>
              </w:rPr>
              <w:t xml:space="preserve">  —  and  —  </w:t>
            </w:r>
            <w:r>
              <w:rPr>
                <w:rFonts w:ascii="Calibri" w:cs="Calibri" w:eastAsia="Calibri" w:hAnsi="Calibri"/>
                <w:b/>
                <w:bCs/>
                <w:color w:val="B54708"/>
                <w:sz w:val="21"/>
                <w:szCs w:val="21"/>
              </w:rPr>
              <w:t xml:space="preserve">[Client legal name]</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14213D"/>
                <w:spacing w:val="20"/>
                <w:sz w:val="18"/>
                <w:szCs w:val="18"/>
              </w:rPr>
              <w:t xml:space="preserve">Document</w:t>
            </w:r>
          </w:p>
        </w:tc>
        <w:tc>
          <w:tcPr>
            <w:tcW w:type="dxa" w:w="6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222831"/>
                <w:sz w:val="20"/>
                <w:szCs w:val="20"/>
              </w:rPr>
              <w:t xml:space="preserve">Master Services Agreement (MSA)</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14213D"/>
                <w:spacing w:val="20"/>
                <w:sz w:val="18"/>
                <w:szCs w:val="18"/>
              </w:rPr>
              <w:t xml:space="preserve">Version</w:t>
            </w:r>
          </w:p>
        </w:tc>
        <w:tc>
          <w:tcPr>
            <w:tcW w:type="dxa" w:w="6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b/>
                <w:bCs/>
                <w:color w:val="B54708"/>
                <w:sz w:val="21"/>
                <w:szCs w:val="21"/>
              </w:rPr>
              <w:t xml:space="preserve">[version, e.g. 1.0]</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14213D"/>
                <w:spacing w:val="20"/>
                <w:sz w:val="18"/>
                <w:szCs w:val="18"/>
              </w:rPr>
              <w:t xml:space="preserve">Effective date</w:t>
            </w:r>
          </w:p>
        </w:tc>
        <w:tc>
          <w:tcPr>
            <w:tcW w:type="dxa" w:w="6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b/>
                <w:bCs/>
                <w:color w:val="B54708"/>
                <w:sz w:val="21"/>
                <w:szCs w:val="21"/>
              </w:rPr>
              <w:t xml:space="preserve">[effective date]</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14213D"/>
                <w:spacing w:val="20"/>
                <w:sz w:val="18"/>
                <w:szCs w:val="18"/>
              </w:rPr>
              <w:t xml:space="preserve">Status</w:t>
            </w:r>
          </w:p>
        </w:tc>
        <w:tc>
          <w:tcPr>
            <w:tcW w:type="dxa" w:w="6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222831"/>
                <w:sz w:val="20"/>
                <w:szCs w:val="20"/>
              </w:rPr>
              <w:t xml:space="preserve">Confidential — for the named parties only</w:t>
            </w:r>
          </w:p>
        </w:tc>
      </w:tr>
    </w:tbl>
    <w:p>
      <w:r>
        <w:br w:type="page"/>
      </w:r>
    </w:p>
    <w:p>
      <w:pPr>
        <w:sectPr>
          <w:pgSz w:w="11906" w:h="16838" w:orient="portrait"/>
          <w:pgMar w:top="1440" w:right="1440" w:bottom="1440" w:left="1440" w:header="708" w:footer="708" w:gutter="0"/>
          <w:pgNumType/>
          <w:docGrid w:linePitch="360"/>
        </w:sectPr>
      </w:pPr>
    </w:p>
    <w:p>
      <w:pPr>
        <w:pBdr>
          <w:top w:val="single" w:color="D7DEEC" w:sz="4" w:space="4"/>
          <w:left w:val="single" w:color="2563EB" w:sz="24" w:space="8"/>
        </w:pBdr>
        <w:shd w:fill="F1F4FA" w:val="clear"/>
        <w:spacing w:after="40" w:before="40" w:line="252"/>
        <w:ind w:left="230" w:right="140"/>
      </w:pPr>
      <w:r>
        <w:rPr>
          <w:rFonts w:ascii="Calibri" w:cs="Calibri" w:eastAsia="Calibri" w:hAnsi="Calibri"/>
          <w:b/>
          <w:bCs/>
          <w:color w:val="14213D"/>
          <w:sz w:val="19"/>
          <w:szCs w:val="19"/>
        </w:rPr>
        <w:t xml:space="preserve">How to use this template</w:t>
      </w:r>
    </w:p>
    <w:p>
      <w:pPr>
        <w:pBdr>
          <w:left w:val="single" w:color="2563EB" w:sz="24" w:space="8"/>
        </w:pBdr>
        <w:shd w:fill="F1F4FA" w:val="clear"/>
        <w:spacing w:after="40" w:before="0" w:line="252"/>
        <w:ind w:left="230" w:right="140"/>
      </w:pPr>
      <w:r>
        <w:rPr>
          <w:rFonts w:ascii="Calibri" w:cs="Calibri" w:eastAsia="Calibri" w:hAnsi="Calibri"/>
          <w:color w:val="5B6472"/>
          <w:sz w:val="19"/>
          <w:szCs w:val="19"/>
        </w:rPr>
        <w:t xml:space="preserve">Replace every </w:t>
      </w:r>
      <w:r>
        <w:rPr>
          <w:rFonts w:ascii="Calibri" w:cs="Calibri" w:eastAsia="Calibri" w:hAnsi="Calibri"/>
          <w:b/>
          <w:bCs/>
          <w:color w:val="B54708"/>
          <w:sz w:val="21"/>
          <w:szCs w:val="21"/>
        </w:rPr>
        <w:t xml:space="preserve">[amber field]</w:t>
      </w:r>
      <w:r>
        <w:rPr>
          <w:rFonts w:ascii="Calibri" w:cs="Calibri" w:eastAsia="Calibri" w:hAnsi="Calibri"/>
          <w:color w:val="5B6472"/>
          <w:sz w:val="19"/>
          <w:szCs w:val="19"/>
        </w:rPr>
        <w:t xml:space="preserve"> with your details before sending. Fields include your registered firm name, office address, authorised signatory, notice email, governing city, and payment terms.</w:t>
      </w:r>
    </w:p>
    <w:p>
      <w:pPr>
        <w:pBdr>
          <w:left w:val="single" w:color="2563EB" w:sz="24" w:space="8"/>
        </w:pBdr>
        <w:shd w:fill="F1F4FA" w:val="clear"/>
        <w:spacing w:after="40" w:before="0" w:line="252"/>
        <w:ind w:left="230" w:right="140"/>
      </w:pPr>
      <w:r>
        <w:rPr>
          <w:rFonts w:ascii="Calibri" w:cs="Calibri" w:eastAsia="Calibri" w:hAnsi="Calibri"/>
          <w:color w:val="5B6472"/>
          <w:sz w:val="19"/>
          <w:szCs w:val="19"/>
        </w:rPr>
        <w:t xml:space="preserve">This Agreement is the umbrella contract. Each individual project is defined in a Statement of Work (Exhibit A) that attaches to it — you sign this MSA once per client, then add a short SOW per project.</w:t>
      </w:r>
    </w:p>
    <w:p>
      <w:pPr>
        <w:pBdr>
          <w:bottom w:val="single" w:color="D7DEEC" w:sz="4" w:space="4"/>
          <w:left w:val="single" w:color="2563EB" w:sz="24" w:space="8"/>
        </w:pBdr>
        <w:shd w:fill="F1F4FA" w:val="clear"/>
        <w:spacing w:after="200" w:before="0" w:line="252"/>
        <w:ind w:left="230" w:right="140"/>
      </w:pPr>
      <w:r>
        <w:rPr>
          <w:rFonts w:ascii="Calibri" w:cs="Calibri" w:eastAsia="Calibri" w:hAnsi="Calibri"/>
          <w:color w:val="5B6472"/>
          <w:sz w:val="19"/>
          <w:szCs w:val="19"/>
        </w:rPr>
        <w:t xml:space="preserve">This is a strong starting template modelled on standard industry practice, not legal advice. Have a Pakistani lawyer (and, for large international clients, local counsel) review it before you rely on it.</w:t>
      </w:r>
    </w:p>
    <w:p>
      <w:pPr>
        <w:spacing w:after="120"/>
      </w:pPr>
      <w:r>
        <w:rPr>
          <w:rFonts w:ascii="Calibri" w:cs="Calibri" w:eastAsia="Calibri" w:hAnsi="Calibri"/>
          <w:sz w:val="21"/>
          <w:szCs w:val="21"/>
        </w:rPr>
        <w:t xml:space="preserve"/>
      </w:r>
    </w:p>
    <w:p>
      <w:pPr>
        <w:spacing w:after="140" w:line="264"/>
      </w:pPr>
      <w:r>
        <w:rPr>
          <w:rFonts w:ascii="Calibri" w:cs="Calibri" w:eastAsia="Calibri" w:hAnsi="Calibri"/>
          <w:b/>
          <w:bCs/>
          <w:sz w:val="21"/>
          <w:szCs w:val="21"/>
        </w:rPr>
        <w:t xml:space="preserve">This Master Services Agreement</w:t>
      </w:r>
      <w:r>
        <w:rPr>
          <w:rFonts w:ascii="Calibri" w:cs="Calibri" w:eastAsia="Calibri" w:hAnsi="Calibri"/>
          <w:sz w:val="21"/>
          <w:szCs w:val="21"/>
        </w:rPr>
        <w:t xml:space="preserve"> (the “Agreement”) is made and entered into on </w:t>
      </w:r>
      <w:r>
        <w:rPr>
          <w:rFonts w:ascii="Calibri" w:cs="Calibri" w:eastAsia="Calibri" w:hAnsi="Calibri"/>
          <w:b/>
          <w:bCs/>
          <w:color w:val="B54708"/>
          <w:sz w:val="21"/>
          <w:szCs w:val="21"/>
        </w:rPr>
        <w:t xml:space="preserve">[effective date]</w:t>
      </w:r>
      <w:r>
        <w:rPr>
          <w:rFonts w:ascii="Calibri" w:cs="Calibri" w:eastAsia="Calibri" w:hAnsi="Calibri"/>
          <w:sz w:val="21"/>
          <w:szCs w:val="21"/>
        </w:rPr>
        <w:t xml:space="preserve"> (the “Effective Date”) by and between:</w:t>
      </w:r>
    </w:p>
    <w:p>
      <w:pPr>
        <w:spacing w:after="140" w:line="264"/>
      </w:pPr>
      <w:r>
        <w:rPr>
          <w:rFonts w:ascii="Calibri" w:cs="Calibri" w:eastAsia="Calibri" w:hAnsi="Calibri"/>
          <w:b/>
          <w:bCs/>
          <w:sz w:val="21"/>
          <w:szCs w:val="21"/>
        </w:rPr>
        <w:t xml:space="preserve">{{Orbit legal name}}</w:t>
      </w:r>
      <w:r>
        <w:rPr>
          <w:rFonts w:ascii="Calibri" w:cs="Calibri" w:eastAsia="Calibri" w:hAnsi="Calibri"/>
          <w:sz w:val="21"/>
          <w:szCs w:val="21"/>
        </w:rPr>
        <w:t xml:space="preserve">, a partnership firm registered with the Securities and Exchange Commission of Pakistan (SECP), having its principal office at </w:t>
      </w:r>
      <w:r>
        <w:rPr>
          <w:rFonts w:ascii="Calibri" w:cs="Calibri" w:eastAsia="Calibri" w:hAnsi="Calibri"/>
          <w:b/>
          <w:bCs/>
          <w:color w:val="B54708"/>
          <w:sz w:val="21"/>
          <w:szCs w:val="21"/>
        </w:rPr>
        <w:t xml:space="preserve">[registered office address, city]</w:t>
      </w:r>
      <w:r>
        <w:rPr>
          <w:rFonts w:ascii="Calibri" w:cs="Calibri" w:eastAsia="Calibri" w:hAnsi="Calibri"/>
          <w:sz w:val="21"/>
          <w:szCs w:val="21"/>
        </w:rPr>
        <w:t xml:space="preserve"> (“Orbit,” “we,” “us” or the “Company”); and</w:t>
      </w:r>
    </w:p>
    <w:p>
      <w:pPr>
        <w:spacing w:after="140" w:line="264"/>
      </w:pPr>
      <w:r>
        <w:rPr>
          <w:rFonts w:ascii="Calibri" w:cs="Calibri" w:eastAsia="Calibri" w:hAnsi="Calibri"/>
          <w:b/>
          <w:bCs/>
          <w:sz w:val="21"/>
          <w:szCs w:val="21"/>
        </w:rPr>
        <w:t xml:space="preserve">{{Client legal name}}</w:t>
      </w:r>
      <w:r>
        <w:rPr>
          <w:rFonts w:ascii="Calibri" w:cs="Calibri" w:eastAsia="Calibri" w:hAnsi="Calibri"/>
          <w:sz w:val="21"/>
          <w:szCs w:val="21"/>
        </w:rPr>
        <w:t xml:space="preserve">, having its principal place of business at </w:t>
      </w:r>
      <w:r>
        <w:rPr>
          <w:rFonts w:ascii="Calibri" w:cs="Calibri" w:eastAsia="Calibri" w:hAnsi="Calibri"/>
          <w:b/>
          <w:bCs/>
          <w:color w:val="B54708"/>
          <w:sz w:val="21"/>
          <w:szCs w:val="21"/>
        </w:rPr>
        <w:t xml:space="preserve">[client address]</w:t>
      </w:r>
      <w:r>
        <w:rPr>
          <w:rFonts w:ascii="Calibri" w:cs="Calibri" w:eastAsia="Calibri" w:hAnsi="Calibri"/>
          <w:sz w:val="21"/>
          <w:szCs w:val="21"/>
        </w:rPr>
        <w:t xml:space="preserve"> (the “Client,” “you” or “your”).</w:t>
      </w:r>
    </w:p>
    <w:p>
      <w:pPr>
        <w:spacing w:after="140" w:line="264"/>
      </w:pPr>
      <w:r>
        <w:rPr>
          <w:rFonts w:ascii="Calibri" w:cs="Calibri" w:eastAsia="Calibri" w:hAnsi="Calibri"/>
          <w:sz w:val="21"/>
          <w:szCs w:val="21"/>
        </w:rPr>
        <w:t xml:space="preserve">Orbit and the Client are each a “Party” and together the “Parties.” The Parties agree as follows:</w:t>
      </w:r>
    </w:p>
    <w:p>
      <w:pPr>
        <w:pStyle w:val="Heading1"/>
        <w:keepNext/>
        <w:spacing w:after="120" w:before="260"/>
      </w:pPr>
      <w:r>
        <w:rPr>
          <w:rFonts w:ascii="Calibri" w:cs="Calibri" w:eastAsia="Calibri" w:hAnsi="Calibri"/>
          <w:b/>
          <w:bCs/>
          <w:color w:val="14213D"/>
          <w:sz w:val="24"/>
          <w:szCs w:val="24"/>
        </w:rPr>
        <w:t xml:space="preserve">1.  Definitions</w:t>
      </w:r>
    </w:p>
    <w:p>
      <w:pPr>
        <w:spacing w:after="120" w:line="264"/>
        <w:ind w:left="720" w:hanging="720"/>
      </w:pPr>
      <w:r>
        <w:rPr>
          <w:rFonts w:ascii="Calibri" w:cs="Calibri" w:eastAsia="Calibri" w:hAnsi="Calibri"/>
          <w:b/>
          <w:bCs/>
          <w:sz w:val="21"/>
          <w:szCs w:val="21"/>
        </w:rPr>
        <w:t xml:space="preserve">1.1 </w:t>
      </w:r>
      <w:r>
        <w:rPr>
          <w:rFonts w:ascii="Calibri" w:cs="Calibri" w:eastAsia="Calibri" w:hAnsi="Calibri"/>
          <w:sz w:val="21"/>
          <w:szCs w:val="21"/>
        </w:rPr>
        <w:t xml:space="preserve">“Services” means the software design, development, engineering, quality assurance, consulting, support and related services provided by Orbit as described in one or more Statements of Work.</w:t>
      </w:r>
    </w:p>
    <w:p>
      <w:pPr>
        <w:spacing w:after="120" w:line="264"/>
        <w:ind w:left="720" w:hanging="720"/>
      </w:pPr>
      <w:r>
        <w:rPr>
          <w:rFonts w:ascii="Calibri" w:cs="Calibri" w:eastAsia="Calibri" w:hAnsi="Calibri"/>
          <w:b/>
          <w:bCs/>
          <w:sz w:val="21"/>
          <w:szCs w:val="21"/>
        </w:rPr>
        <w:t xml:space="preserve">1.2 </w:t>
      </w:r>
      <w:r>
        <w:rPr>
          <w:rFonts w:ascii="Calibri" w:cs="Calibri" w:eastAsia="Calibri" w:hAnsi="Calibri"/>
          <w:sz w:val="21"/>
          <w:szCs w:val="21"/>
        </w:rPr>
        <w:t xml:space="preserve">“Statement of Work” or “SOW” means a written document (in the form of Exhibit A) that describes the specific Services, deliverables, timelines, fees and other terms for a particular project, and which incorporates this Agreement by reference.</w:t>
      </w:r>
    </w:p>
    <w:p>
      <w:pPr>
        <w:spacing w:after="120" w:line="264"/>
        <w:ind w:left="720" w:hanging="720"/>
      </w:pPr>
      <w:r>
        <w:rPr>
          <w:rFonts w:ascii="Calibri" w:cs="Calibri" w:eastAsia="Calibri" w:hAnsi="Calibri"/>
          <w:b/>
          <w:bCs/>
          <w:sz w:val="21"/>
          <w:szCs w:val="21"/>
        </w:rPr>
        <w:t xml:space="preserve">1.3 </w:t>
      </w:r>
      <w:r>
        <w:rPr>
          <w:rFonts w:ascii="Calibri" w:cs="Calibri" w:eastAsia="Calibri" w:hAnsi="Calibri"/>
          <w:sz w:val="21"/>
          <w:szCs w:val="21"/>
        </w:rPr>
        <w:t xml:space="preserve">“Deliverables” means the work product, software, code, documentation and other materials that Orbit is required to deliver to the Client under an SOW.</w:t>
      </w:r>
    </w:p>
    <w:p>
      <w:pPr>
        <w:spacing w:after="120" w:line="264"/>
        <w:ind w:left="720" w:hanging="720"/>
      </w:pPr>
      <w:r>
        <w:rPr>
          <w:rFonts w:ascii="Calibri" w:cs="Calibri" w:eastAsia="Calibri" w:hAnsi="Calibri"/>
          <w:b/>
          <w:bCs/>
          <w:sz w:val="21"/>
          <w:szCs w:val="21"/>
        </w:rPr>
        <w:t xml:space="preserve">1.4 </w:t>
      </w:r>
      <w:r>
        <w:rPr>
          <w:rFonts w:ascii="Calibri" w:cs="Calibri" w:eastAsia="Calibri" w:hAnsi="Calibri"/>
          <w:sz w:val="21"/>
          <w:szCs w:val="21"/>
        </w:rPr>
        <w:t xml:space="preserve">“Background IP” means intellectual property, tools, libraries, frameworks, know-how and materials owned or licensed by a Party that exist independently of, or are developed outside, this Agreement.</w:t>
      </w:r>
    </w:p>
    <w:p>
      <w:pPr>
        <w:spacing w:after="120" w:line="264"/>
        <w:ind w:left="720" w:hanging="720"/>
      </w:pPr>
      <w:r>
        <w:rPr>
          <w:rFonts w:ascii="Calibri" w:cs="Calibri" w:eastAsia="Calibri" w:hAnsi="Calibri"/>
          <w:b/>
          <w:bCs/>
          <w:sz w:val="21"/>
          <w:szCs w:val="21"/>
        </w:rPr>
        <w:t xml:space="preserve">1.5 </w:t>
      </w:r>
      <w:r>
        <w:rPr>
          <w:rFonts w:ascii="Calibri" w:cs="Calibri" w:eastAsia="Calibri" w:hAnsi="Calibri"/>
          <w:sz w:val="21"/>
          <w:szCs w:val="21"/>
        </w:rPr>
        <w:t xml:space="preserve">“Confidential Information” means non-public information disclosed by one Party to the other that is marked confidential or that a reasonable person would understand to be confidential, including source code, business plans, pricing, and client data.</w:t>
      </w:r>
    </w:p>
    <w:p>
      <w:pPr>
        <w:spacing w:after="120" w:line="264"/>
        <w:ind w:left="720" w:hanging="720"/>
      </w:pPr>
      <w:r>
        <w:rPr>
          <w:rFonts w:ascii="Calibri" w:cs="Calibri" w:eastAsia="Calibri" w:hAnsi="Calibri"/>
          <w:b/>
          <w:bCs/>
          <w:sz w:val="21"/>
          <w:szCs w:val="21"/>
        </w:rPr>
        <w:t xml:space="preserve">1.6 </w:t>
      </w:r>
      <w:r>
        <w:rPr>
          <w:rFonts w:ascii="Calibri" w:cs="Calibri" w:eastAsia="Calibri" w:hAnsi="Calibri"/>
          <w:sz w:val="21"/>
          <w:szCs w:val="21"/>
        </w:rPr>
        <w:t xml:space="preserve">“Acceptance Criteria” means the objective, testable criteria set out in an SOW against which a Deliverable is evaluated.</w:t>
      </w:r>
    </w:p>
    <w:p>
      <w:pPr>
        <w:pStyle w:val="Heading1"/>
        <w:keepNext/>
        <w:spacing w:after="120" w:before="260"/>
      </w:pPr>
      <w:r>
        <w:rPr>
          <w:rFonts w:ascii="Calibri" w:cs="Calibri" w:eastAsia="Calibri" w:hAnsi="Calibri"/>
          <w:b/>
          <w:bCs/>
          <w:color w:val="14213D"/>
          <w:sz w:val="24"/>
          <w:szCs w:val="24"/>
        </w:rPr>
        <w:t xml:space="preserve">2.  Structure of the Agreement</w:t>
      </w:r>
    </w:p>
    <w:p>
      <w:pPr>
        <w:spacing w:after="120" w:line="264"/>
        <w:ind w:left="720" w:hanging="720"/>
      </w:pPr>
      <w:r>
        <w:rPr>
          <w:rFonts w:ascii="Calibri" w:cs="Calibri" w:eastAsia="Calibri" w:hAnsi="Calibri"/>
          <w:b/>
          <w:bCs/>
          <w:sz w:val="21"/>
          <w:szCs w:val="21"/>
        </w:rPr>
        <w:t xml:space="preserve">2.1 </w:t>
      </w:r>
      <w:r>
        <w:rPr>
          <w:rFonts w:ascii="Calibri" w:cs="Calibri" w:eastAsia="Calibri" w:hAnsi="Calibri"/>
          <w:sz w:val="21"/>
          <w:szCs w:val="21"/>
        </w:rPr>
        <w:t xml:space="preserve">This Agreement governs the overall relationship between the Parties. It does not, by itself, obligate either Party to any specific project until an SOW is signed.</w:t>
      </w:r>
    </w:p>
    <w:p>
      <w:pPr>
        <w:spacing w:after="120" w:line="264"/>
        <w:ind w:left="720" w:hanging="720"/>
      </w:pPr>
      <w:r>
        <w:rPr>
          <w:rFonts w:ascii="Calibri" w:cs="Calibri" w:eastAsia="Calibri" w:hAnsi="Calibri"/>
          <w:b/>
          <w:bCs/>
          <w:sz w:val="21"/>
          <w:szCs w:val="21"/>
        </w:rPr>
        <w:t xml:space="preserve">2.2 </w:t>
      </w:r>
      <w:r>
        <w:rPr>
          <w:rFonts w:ascii="Calibri" w:cs="Calibri" w:eastAsia="Calibri" w:hAnsi="Calibri"/>
          <w:sz w:val="21"/>
          <w:szCs w:val="21"/>
        </w:rPr>
        <w:t xml:space="preserve">Each SOW forms a separate contract that incorporates the terms of this Agreement. The Parties may enter into multiple SOWs under this Agreement.</w:t>
      </w:r>
    </w:p>
    <w:p>
      <w:pPr>
        <w:spacing w:after="120" w:line="264"/>
        <w:ind w:left="720" w:hanging="720"/>
      </w:pPr>
      <w:r>
        <w:rPr>
          <w:rFonts w:ascii="Calibri" w:cs="Calibri" w:eastAsia="Calibri" w:hAnsi="Calibri"/>
          <w:b/>
          <w:bCs/>
          <w:sz w:val="21"/>
          <w:szCs w:val="21"/>
        </w:rPr>
        <w:t xml:space="preserve">2.3 </w:t>
      </w:r>
      <w:r>
        <w:rPr>
          <w:rFonts w:ascii="Calibri" w:cs="Calibri" w:eastAsia="Calibri" w:hAnsi="Calibri"/>
          <w:sz w:val="21"/>
          <w:szCs w:val="21"/>
        </w:rPr>
        <w:t xml:space="preserve">If there is a conflict between this Agreement and an SOW, this Agreement prevails, except where the SOW expressly states that a specific clause overrides this Agreement and is signed by authorised representatives of both Parties.</w:t>
      </w:r>
    </w:p>
    <w:p>
      <w:pPr>
        <w:pStyle w:val="Heading1"/>
        <w:keepNext/>
        <w:spacing w:after="120" w:before="260"/>
      </w:pPr>
      <w:r>
        <w:rPr>
          <w:rFonts w:ascii="Calibri" w:cs="Calibri" w:eastAsia="Calibri" w:hAnsi="Calibri"/>
          <w:b/>
          <w:bCs/>
          <w:color w:val="14213D"/>
          <w:sz w:val="24"/>
          <w:szCs w:val="24"/>
        </w:rPr>
        <w:t xml:space="preserve">3.  Scope of Services</w:t>
      </w:r>
    </w:p>
    <w:p>
      <w:pPr>
        <w:spacing w:after="120" w:line="264"/>
        <w:ind w:left="720" w:hanging="720"/>
      </w:pPr>
      <w:r>
        <w:rPr>
          <w:rFonts w:ascii="Calibri" w:cs="Calibri" w:eastAsia="Calibri" w:hAnsi="Calibri"/>
          <w:b/>
          <w:bCs/>
          <w:sz w:val="21"/>
          <w:szCs w:val="21"/>
        </w:rPr>
        <w:t xml:space="preserve">3.1 </w:t>
      </w:r>
      <w:r>
        <w:rPr>
          <w:rFonts w:ascii="Calibri" w:cs="Calibri" w:eastAsia="Calibri" w:hAnsi="Calibri"/>
          <w:sz w:val="21"/>
          <w:szCs w:val="21"/>
        </w:rPr>
        <w:t xml:space="preserve">Orbit will provide the Services with reasonable skill, care and diligence, in a professional and workmanlike manner, consistent with prevailing industry standards.</w:t>
      </w:r>
    </w:p>
    <w:p>
      <w:pPr>
        <w:spacing w:after="120" w:line="264"/>
        <w:ind w:left="720" w:hanging="720"/>
      </w:pPr>
      <w:r>
        <w:rPr>
          <w:rFonts w:ascii="Calibri" w:cs="Calibri" w:eastAsia="Calibri" w:hAnsi="Calibri"/>
          <w:b/>
          <w:bCs/>
          <w:sz w:val="21"/>
          <w:szCs w:val="21"/>
        </w:rPr>
        <w:t xml:space="preserve">3.2 </w:t>
      </w:r>
      <w:r>
        <w:rPr>
          <w:rFonts w:ascii="Calibri" w:cs="Calibri" w:eastAsia="Calibri" w:hAnsi="Calibri"/>
          <w:sz w:val="21"/>
          <w:szCs w:val="21"/>
        </w:rPr>
        <w:t xml:space="preserve">Orbit may perform the Services remotely, on-site, or through a hybrid arrangement as agreed in the applicable SOW. Where on-site work is required, the Client will provide reasonable access, facilities and safe working conditions.</w:t>
      </w:r>
    </w:p>
    <w:p>
      <w:pPr>
        <w:spacing w:after="120" w:line="264"/>
        <w:ind w:left="720" w:hanging="720"/>
      </w:pPr>
      <w:r>
        <w:rPr>
          <w:rFonts w:ascii="Calibri" w:cs="Calibri" w:eastAsia="Calibri" w:hAnsi="Calibri"/>
          <w:b/>
          <w:bCs/>
          <w:sz w:val="21"/>
          <w:szCs w:val="21"/>
        </w:rPr>
        <w:t xml:space="preserve">3.3 </w:t>
      </w:r>
      <w:r>
        <w:rPr>
          <w:rFonts w:ascii="Calibri" w:cs="Calibri" w:eastAsia="Calibri" w:hAnsi="Calibri"/>
          <w:sz w:val="21"/>
          <w:szCs w:val="21"/>
        </w:rPr>
        <w:t xml:space="preserve">Orbit may engage qualified employees, contractors or sub-processors to perform the Services, provided Orbit remains responsible for their work and binds them to confidentiality obligations no less protective than those in this Agreement.</w:t>
      </w:r>
    </w:p>
    <w:p>
      <w:pPr>
        <w:pStyle w:val="Heading1"/>
        <w:keepNext/>
        <w:spacing w:after="120" w:before="260"/>
      </w:pPr>
      <w:r>
        <w:rPr>
          <w:rFonts w:ascii="Calibri" w:cs="Calibri" w:eastAsia="Calibri" w:hAnsi="Calibri"/>
          <w:b/>
          <w:bCs/>
          <w:color w:val="14213D"/>
          <w:sz w:val="24"/>
          <w:szCs w:val="24"/>
        </w:rPr>
        <w:t xml:space="preserve">4.  Statements of Work and Acceptance</w:t>
      </w:r>
    </w:p>
    <w:p>
      <w:pPr>
        <w:spacing w:after="120" w:line="264"/>
        <w:ind w:left="720" w:hanging="720"/>
      </w:pPr>
      <w:r>
        <w:rPr>
          <w:rFonts w:ascii="Calibri" w:cs="Calibri" w:eastAsia="Calibri" w:hAnsi="Calibri"/>
          <w:b/>
          <w:bCs/>
          <w:sz w:val="21"/>
          <w:szCs w:val="21"/>
        </w:rPr>
        <w:t xml:space="preserve">4.1 </w:t>
      </w:r>
      <w:r>
        <w:rPr>
          <w:rFonts w:ascii="Calibri" w:cs="Calibri" w:eastAsia="Calibri" w:hAnsi="Calibri"/>
          <w:sz w:val="21"/>
          <w:szCs w:val="21"/>
        </w:rPr>
        <w:t xml:space="preserve">Each SOW will describe the Services, Deliverables, milestones, timelines, fees, and Acceptance Criteria. An SOW is effective only when signed by both Parties.</w:t>
      </w:r>
    </w:p>
    <w:p>
      <w:pPr>
        <w:spacing w:after="120" w:line="264"/>
        <w:ind w:left="720" w:hanging="720"/>
      </w:pPr>
      <w:r>
        <w:rPr>
          <w:rFonts w:ascii="Calibri" w:cs="Calibri" w:eastAsia="Calibri" w:hAnsi="Calibri"/>
          <w:b/>
          <w:bCs/>
          <w:sz w:val="21"/>
          <w:szCs w:val="21"/>
        </w:rPr>
        <w:t xml:space="preserve">4.2 </w:t>
      </w:r>
      <w:r>
        <w:rPr>
          <w:rFonts w:ascii="Calibri" w:cs="Calibri" w:eastAsia="Calibri" w:hAnsi="Calibri"/>
          <w:sz w:val="21"/>
          <w:szCs w:val="21"/>
        </w:rPr>
        <w:t xml:space="preserve">Unless an SOW states otherwise, the Client will review each Deliverable within </w:t>
      </w:r>
      <w:r>
        <w:rPr>
          <w:rFonts w:ascii="Calibri" w:cs="Calibri" w:eastAsia="Calibri" w:hAnsi="Calibri"/>
          <w:b/>
          <w:bCs/>
          <w:color w:val="B54708"/>
          <w:sz w:val="21"/>
          <w:szCs w:val="21"/>
        </w:rPr>
        <w:t xml:space="preserve">[acceptance period, e.g. 7]</w:t>
      </w:r>
      <w:r>
        <w:rPr>
          <w:rFonts w:ascii="Calibri" w:cs="Calibri" w:eastAsia="Calibri" w:hAnsi="Calibri"/>
          <w:sz w:val="21"/>
          <w:szCs w:val="21"/>
        </w:rPr>
        <w:t xml:space="preserve"> business days of delivery and will either accept it or provide a written list of specific failures against the Acceptance Criteria.</w:t>
      </w:r>
    </w:p>
    <w:p>
      <w:pPr>
        <w:spacing w:after="120" w:line="264"/>
        <w:ind w:left="720" w:hanging="720"/>
      </w:pPr>
      <w:r>
        <w:rPr>
          <w:rFonts w:ascii="Calibri" w:cs="Calibri" w:eastAsia="Calibri" w:hAnsi="Calibri"/>
          <w:b/>
          <w:bCs/>
          <w:sz w:val="21"/>
          <w:szCs w:val="21"/>
        </w:rPr>
        <w:t xml:space="preserve">4.3 </w:t>
      </w:r>
      <w:r>
        <w:rPr>
          <w:rFonts w:ascii="Calibri" w:cs="Calibri" w:eastAsia="Calibri" w:hAnsi="Calibri"/>
          <w:sz w:val="21"/>
          <w:szCs w:val="21"/>
        </w:rPr>
        <w:t xml:space="preserve">If the Client does not respond within the review period, the Deliverable is deemed accepted. If the Client reports failures, Orbit will correct them within a reasonable time and re-submit the Deliverable for review.</w:t>
      </w:r>
    </w:p>
    <w:p>
      <w:pPr>
        <w:spacing w:after="120" w:line="264"/>
        <w:ind w:left="720" w:hanging="720"/>
      </w:pPr>
      <w:r>
        <w:rPr>
          <w:rFonts w:ascii="Calibri" w:cs="Calibri" w:eastAsia="Calibri" w:hAnsi="Calibri"/>
          <w:b/>
          <w:bCs/>
          <w:sz w:val="21"/>
          <w:szCs w:val="21"/>
        </w:rPr>
        <w:t xml:space="preserve">4.4 </w:t>
      </w:r>
      <w:r>
        <w:rPr>
          <w:rFonts w:ascii="Calibri" w:cs="Calibri" w:eastAsia="Calibri" w:hAnsi="Calibri"/>
          <w:sz w:val="21"/>
          <w:szCs w:val="21"/>
        </w:rPr>
        <w:t xml:space="preserve">Acceptance will not be unreasonably withheld, delayed or conditioned. Use of a Deliverable in production constitutes acceptance.</w:t>
      </w:r>
    </w:p>
    <w:p>
      <w:pPr>
        <w:pStyle w:val="Heading1"/>
        <w:keepNext/>
        <w:spacing w:after="120" w:before="260"/>
      </w:pPr>
      <w:r>
        <w:rPr>
          <w:rFonts w:ascii="Calibri" w:cs="Calibri" w:eastAsia="Calibri" w:hAnsi="Calibri"/>
          <w:b/>
          <w:bCs/>
          <w:color w:val="14213D"/>
          <w:sz w:val="24"/>
          <w:szCs w:val="24"/>
        </w:rPr>
        <w:t xml:space="preserve">5.  Change Control</w:t>
      </w:r>
    </w:p>
    <w:p>
      <w:pPr>
        <w:spacing w:after="120" w:line="264"/>
        <w:ind w:left="720" w:hanging="720"/>
      </w:pPr>
      <w:r>
        <w:rPr>
          <w:rFonts w:ascii="Calibri" w:cs="Calibri" w:eastAsia="Calibri" w:hAnsi="Calibri"/>
          <w:b/>
          <w:bCs/>
          <w:sz w:val="21"/>
          <w:szCs w:val="21"/>
        </w:rPr>
        <w:t xml:space="preserve">5.1 </w:t>
      </w:r>
      <w:r>
        <w:rPr>
          <w:rFonts w:ascii="Calibri" w:cs="Calibri" w:eastAsia="Calibri" w:hAnsi="Calibri"/>
          <w:sz w:val="21"/>
          <w:szCs w:val="21"/>
        </w:rPr>
        <w:t xml:space="preserve">Either Party may request a change to the scope, timeline or fees of an SOW. Orbit will assess the impact of the requested change and provide a written change order describing any adjustment to scope, schedule and fees.</w:t>
      </w:r>
    </w:p>
    <w:p>
      <w:pPr>
        <w:spacing w:after="120" w:line="264"/>
        <w:ind w:left="720" w:hanging="720"/>
      </w:pPr>
      <w:r>
        <w:rPr>
          <w:rFonts w:ascii="Calibri" w:cs="Calibri" w:eastAsia="Calibri" w:hAnsi="Calibri"/>
          <w:b/>
          <w:bCs/>
          <w:sz w:val="21"/>
          <w:szCs w:val="21"/>
        </w:rPr>
        <w:t xml:space="preserve">5.2 </w:t>
      </w:r>
      <w:r>
        <w:rPr>
          <w:rFonts w:ascii="Calibri" w:cs="Calibri" w:eastAsia="Calibri" w:hAnsi="Calibri"/>
          <w:sz w:val="21"/>
          <w:szCs w:val="21"/>
        </w:rPr>
        <w:t xml:space="preserve">No change is binding until the change order is signed by both Parties. Orbit is not obligated to perform requested changes until they are approved in writing.</w:t>
      </w:r>
    </w:p>
    <w:p>
      <w:pPr>
        <w:pStyle w:val="Heading1"/>
        <w:keepNext/>
        <w:spacing w:after="120" w:before="260"/>
      </w:pPr>
      <w:r>
        <w:rPr>
          <w:rFonts w:ascii="Calibri" w:cs="Calibri" w:eastAsia="Calibri" w:hAnsi="Calibri"/>
          <w:b/>
          <w:bCs/>
          <w:color w:val="14213D"/>
          <w:sz w:val="24"/>
          <w:szCs w:val="24"/>
        </w:rPr>
        <w:t xml:space="preserve">6.  Client Responsibilities and Dependencies</w:t>
      </w:r>
    </w:p>
    <w:p>
      <w:pPr>
        <w:spacing w:after="120" w:line="264"/>
        <w:ind w:left="720" w:hanging="720"/>
      </w:pPr>
      <w:r>
        <w:rPr>
          <w:rFonts w:ascii="Calibri" w:cs="Calibri" w:eastAsia="Calibri" w:hAnsi="Calibri"/>
          <w:b/>
          <w:bCs/>
          <w:sz w:val="21"/>
          <w:szCs w:val="21"/>
        </w:rPr>
        <w:t xml:space="preserve">6.1 </w:t>
      </w:r>
      <w:r>
        <w:rPr>
          <w:rFonts w:ascii="Calibri" w:cs="Calibri" w:eastAsia="Calibri" w:hAnsi="Calibri"/>
          <w:sz w:val="21"/>
          <w:szCs w:val="21"/>
        </w:rPr>
        <w:t xml:space="preserve">The Client will provide timely access to the information, systems, personnel, approvals, credentials, content and third-party licences that Orbit reasonably needs to perform the Services.</w:t>
      </w:r>
    </w:p>
    <w:p>
      <w:pPr>
        <w:spacing w:after="120" w:line="264"/>
        <w:ind w:left="720" w:hanging="720"/>
      </w:pPr>
      <w:r>
        <w:rPr>
          <w:rFonts w:ascii="Calibri" w:cs="Calibri" w:eastAsia="Calibri" w:hAnsi="Calibri"/>
          <w:b/>
          <w:bCs/>
          <w:sz w:val="21"/>
          <w:szCs w:val="21"/>
        </w:rPr>
        <w:t xml:space="preserve">6.2 </w:t>
      </w:r>
      <w:r>
        <w:rPr>
          <w:rFonts w:ascii="Calibri" w:cs="Calibri" w:eastAsia="Calibri" w:hAnsi="Calibri"/>
          <w:sz w:val="21"/>
          <w:szCs w:val="21"/>
        </w:rPr>
        <w:t xml:space="preserve">The Client is responsible for the accuracy and legality of all materials and data it provides, and warrants that it has the rights necessary to provide them to Orbit.</w:t>
      </w:r>
    </w:p>
    <w:p>
      <w:pPr>
        <w:spacing w:after="120" w:line="264"/>
        <w:ind w:left="720" w:hanging="720"/>
      </w:pPr>
      <w:r>
        <w:rPr>
          <w:rFonts w:ascii="Calibri" w:cs="Calibri" w:eastAsia="Calibri" w:hAnsi="Calibri"/>
          <w:b/>
          <w:bCs/>
          <w:sz w:val="21"/>
          <w:szCs w:val="21"/>
        </w:rPr>
        <w:t xml:space="preserve">6.3 </w:t>
      </w:r>
      <w:r>
        <w:rPr>
          <w:rFonts w:ascii="Calibri" w:cs="Calibri" w:eastAsia="Calibri" w:hAnsi="Calibri"/>
          <w:sz w:val="21"/>
          <w:szCs w:val="21"/>
        </w:rPr>
        <w:t xml:space="preserve">Delays caused by the Client or its third parties will extend Orbit's timelines and may increase fees on a reasonable basis. Orbit is not liable for failures caused by the Client's delay or non-performance of a dependency.</w:t>
      </w:r>
    </w:p>
    <w:p>
      <w:pPr>
        <w:pStyle w:val="Heading1"/>
        <w:keepNext/>
        <w:spacing w:after="120" w:before="260"/>
      </w:pPr>
      <w:r>
        <w:rPr>
          <w:rFonts w:ascii="Calibri" w:cs="Calibri" w:eastAsia="Calibri" w:hAnsi="Calibri"/>
          <w:b/>
          <w:bCs/>
          <w:color w:val="14213D"/>
          <w:sz w:val="24"/>
          <w:szCs w:val="24"/>
        </w:rPr>
        <w:t xml:space="preserve">7.  Fees, Invoicing and Taxes</w:t>
      </w:r>
    </w:p>
    <w:p>
      <w:pPr>
        <w:spacing w:after="120" w:line="264"/>
        <w:ind w:left="720" w:hanging="720"/>
      </w:pPr>
      <w:r>
        <w:rPr>
          <w:rFonts w:ascii="Calibri" w:cs="Calibri" w:eastAsia="Calibri" w:hAnsi="Calibri"/>
          <w:b/>
          <w:bCs/>
          <w:sz w:val="21"/>
          <w:szCs w:val="21"/>
        </w:rPr>
        <w:t xml:space="preserve">7.1 </w:t>
      </w:r>
      <w:r>
        <w:rPr>
          <w:rFonts w:ascii="Calibri" w:cs="Calibri" w:eastAsia="Calibri" w:hAnsi="Calibri"/>
          <w:sz w:val="21"/>
          <w:szCs w:val="21"/>
        </w:rPr>
        <w:t xml:space="preserve">The Client will pay the fees set out in each SOW. Fees may be structured as fixed-price, time-and-materials, or a monthly retainer / dedicated-team model, as specified in the SOW.</w:t>
      </w:r>
    </w:p>
    <w:p>
      <w:pPr>
        <w:spacing w:after="120" w:line="264"/>
        <w:ind w:left="720" w:hanging="720"/>
      </w:pPr>
      <w:r>
        <w:rPr>
          <w:rFonts w:ascii="Calibri" w:cs="Calibri" w:eastAsia="Calibri" w:hAnsi="Calibri"/>
          <w:b/>
          <w:bCs/>
          <w:sz w:val="21"/>
          <w:szCs w:val="21"/>
        </w:rPr>
        <w:t xml:space="preserve">7.2 </w:t>
      </w:r>
      <w:r>
        <w:rPr>
          <w:rFonts w:ascii="Calibri" w:cs="Calibri" w:eastAsia="Calibri" w:hAnsi="Calibri"/>
          <w:sz w:val="21"/>
          <w:szCs w:val="21"/>
        </w:rPr>
        <w:t xml:space="preserve">Unless an SOW states otherwise, Orbit will invoice </w:t>
      </w:r>
      <w:r>
        <w:rPr>
          <w:rFonts w:ascii="Calibri" w:cs="Calibri" w:eastAsia="Calibri" w:hAnsi="Calibri"/>
          <w:b/>
          <w:bCs/>
          <w:color w:val="B54708"/>
          <w:sz w:val="21"/>
          <w:szCs w:val="21"/>
        </w:rPr>
        <w:t xml:space="preserve">[invoicing cadence, e.g. monthly / per milestone]</w:t>
      </w:r>
      <w:r>
        <w:rPr>
          <w:rFonts w:ascii="Calibri" w:cs="Calibri" w:eastAsia="Calibri" w:hAnsi="Calibri"/>
          <w:sz w:val="21"/>
          <w:szCs w:val="21"/>
        </w:rPr>
        <w:t xml:space="preserve">, and the Client will pay each undisputed invoice within </w:t>
      </w:r>
      <w:r>
        <w:rPr>
          <w:rFonts w:ascii="Calibri" w:cs="Calibri" w:eastAsia="Calibri" w:hAnsi="Calibri"/>
          <w:b/>
          <w:bCs/>
          <w:color w:val="B54708"/>
          <w:sz w:val="21"/>
          <w:szCs w:val="21"/>
        </w:rPr>
        <w:t xml:space="preserve">[payment term, e.g. 15]</w:t>
      </w:r>
      <w:r>
        <w:rPr>
          <w:rFonts w:ascii="Calibri" w:cs="Calibri" w:eastAsia="Calibri" w:hAnsi="Calibri"/>
          <w:sz w:val="21"/>
          <w:szCs w:val="21"/>
        </w:rPr>
        <w:t xml:space="preserve"> days of the invoice date.</w:t>
      </w:r>
    </w:p>
    <w:p>
      <w:pPr>
        <w:spacing w:after="120" w:line="264"/>
        <w:ind w:left="720" w:hanging="720"/>
      </w:pPr>
      <w:r>
        <w:rPr>
          <w:rFonts w:ascii="Calibri" w:cs="Calibri" w:eastAsia="Calibri" w:hAnsi="Calibri"/>
          <w:b/>
          <w:bCs/>
          <w:sz w:val="21"/>
          <w:szCs w:val="21"/>
        </w:rPr>
        <w:t xml:space="preserve">7.3 </w:t>
      </w:r>
      <w:r>
        <w:rPr>
          <w:rFonts w:ascii="Calibri" w:cs="Calibri" w:eastAsia="Calibri" w:hAnsi="Calibri"/>
          <w:sz w:val="21"/>
          <w:szCs w:val="21"/>
        </w:rPr>
        <w:t xml:space="preserve">Invoices may be issued in </w:t>
      </w:r>
      <w:r>
        <w:rPr>
          <w:rFonts w:ascii="Calibri" w:cs="Calibri" w:eastAsia="Calibri" w:hAnsi="Calibri"/>
          <w:b/>
          <w:bCs/>
          <w:color w:val="B54708"/>
          <w:sz w:val="21"/>
          <w:szCs w:val="21"/>
        </w:rPr>
        <w:t xml:space="preserve">[currency, e.g. USD for international clients and PKR for local clients]</w:t>
      </w:r>
      <w:r>
        <w:rPr>
          <w:rFonts w:ascii="Calibri" w:cs="Calibri" w:eastAsia="Calibri" w:hAnsi="Calibri"/>
          <w:sz w:val="21"/>
          <w:szCs w:val="21"/>
        </w:rPr>
        <w:t xml:space="preserve">. For international clients, payment will be made by wire transfer to Orbit's designated foreign-currency business account through legal banking channels, in line with State Bank of Pakistan and PSEB export requirements.</w:t>
      </w:r>
    </w:p>
    <w:p>
      <w:pPr>
        <w:spacing w:after="120" w:line="264"/>
        <w:ind w:left="720" w:hanging="720"/>
      </w:pPr>
      <w:r>
        <w:rPr>
          <w:rFonts w:ascii="Calibri" w:cs="Calibri" w:eastAsia="Calibri" w:hAnsi="Calibri"/>
          <w:b/>
          <w:bCs/>
          <w:sz w:val="21"/>
          <w:szCs w:val="21"/>
        </w:rPr>
        <w:t xml:space="preserve">7.4 </w:t>
      </w:r>
      <w:r>
        <w:rPr>
          <w:rFonts w:ascii="Calibri" w:cs="Calibri" w:eastAsia="Calibri" w:hAnsi="Calibri"/>
          <w:sz w:val="21"/>
          <w:szCs w:val="21"/>
        </w:rPr>
        <w:t xml:space="preserve">Fees are exclusive of taxes. Each Party is responsible for its own taxes. Where the Client is required by law to withhold tax, it will provide Orbit with a valid withholding tax certificate. Applicable sales tax on services will be added where required.</w:t>
      </w:r>
    </w:p>
    <w:p>
      <w:pPr>
        <w:spacing w:after="120" w:line="264"/>
        <w:ind w:left="720" w:hanging="720"/>
      </w:pPr>
      <w:r>
        <w:rPr>
          <w:rFonts w:ascii="Calibri" w:cs="Calibri" w:eastAsia="Calibri" w:hAnsi="Calibri"/>
          <w:b/>
          <w:bCs/>
          <w:sz w:val="21"/>
          <w:szCs w:val="21"/>
        </w:rPr>
        <w:t xml:space="preserve">7.5 </w:t>
      </w:r>
      <w:r>
        <w:rPr>
          <w:rFonts w:ascii="Calibri" w:cs="Calibri" w:eastAsia="Calibri" w:hAnsi="Calibri"/>
          <w:sz w:val="21"/>
          <w:szCs w:val="21"/>
        </w:rPr>
        <w:t xml:space="preserve">Undisputed amounts not paid when due may accrue a late-payment charge of </w:t>
      </w:r>
      <w:r>
        <w:rPr>
          <w:rFonts w:ascii="Calibri" w:cs="Calibri" w:eastAsia="Calibri" w:hAnsi="Calibri"/>
          <w:b/>
          <w:bCs/>
          <w:color w:val="B54708"/>
          <w:sz w:val="21"/>
          <w:szCs w:val="21"/>
        </w:rPr>
        <w:t xml:space="preserve">[late fee, e.g. 1.5]</w:t>
      </w:r>
      <w:r>
        <w:rPr>
          <w:rFonts w:ascii="Calibri" w:cs="Calibri" w:eastAsia="Calibri" w:hAnsi="Calibri"/>
          <w:sz w:val="21"/>
          <w:szCs w:val="21"/>
        </w:rPr>
        <w:t xml:space="preserve">% per month. Orbit may suspend the Services on </w:t>
      </w:r>
      <w:r>
        <w:rPr>
          <w:rFonts w:ascii="Calibri" w:cs="Calibri" w:eastAsia="Calibri" w:hAnsi="Calibri"/>
          <w:b/>
          <w:bCs/>
          <w:color w:val="B54708"/>
          <w:sz w:val="21"/>
          <w:szCs w:val="21"/>
        </w:rPr>
        <w:t xml:space="preserve">[notice days, e.g. 7]</w:t>
      </w:r>
      <w:r>
        <w:rPr>
          <w:rFonts w:ascii="Calibri" w:cs="Calibri" w:eastAsia="Calibri" w:hAnsi="Calibri"/>
          <w:sz w:val="21"/>
          <w:szCs w:val="21"/>
        </w:rPr>
        <w:t xml:space="preserve"> days' written notice for overdue undisputed invoices.</w:t>
      </w:r>
    </w:p>
    <w:p>
      <w:pPr>
        <w:spacing w:after="120" w:line="264"/>
        <w:ind w:left="720" w:hanging="720"/>
      </w:pPr>
      <w:r>
        <w:rPr>
          <w:rFonts w:ascii="Calibri" w:cs="Calibri" w:eastAsia="Calibri" w:hAnsi="Calibri"/>
          <w:b/>
          <w:bCs/>
          <w:sz w:val="21"/>
          <w:szCs w:val="21"/>
        </w:rPr>
        <w:t xml:space="preserve">7.6 </w:t>
      </w:r>
      <w:r>
        <w:rPr>
          <w:rFonts w:ascii="Calibri" w:cs="Calibri" w:eastAsia="Calibri" w:hAnsi="Calibri"/>
          <w:sz w:val="21"/>
          <w:szCs w:val="21"/>
        </w:rPr>
        <w:t xml:space="preserve">The Client will reimburse pre-approved, reasonable expenses (such as travel for on-site work or third-party licences) documented with receipts.</w:t>
      </w:r>
    </w:p>
    <w:p>
      <w:pPr>
        <w:pStyle w:val="Heading1"/>
        <w:keepNext/>
        <w:spacing w:after="120" w:before="260"/>
      </w:pPr>
      <w:r>
        <w:rPr>
          <w:rFonts w:ascii="Calibri" w:cs="Calibri" w:eastAsia="Calibri" w:hAnsi="Calibri"/>
          <w:b/>
          <w:bCs/>
          <w:color w:val="14213D"/>
          <w:sz w:val="24"/>
          <w:szCs w:val="24"/>
        </w:rPr>
        <w:t xml:space="preserve">8.  Intellectual Property</w:t>
      </w:r>
    </w:p>
    <w:p>
      <w:pPr>
        <w:spacing w:after="120" w:line="264"/>
        <w:ind w:left="720" w:hanging="720"/>
      </w:pPr>
      <w:r>
        <w:rPr>
          <w:rFonts w:ascii="Calibri" w:cs="Calibri" w:eastAsia="Calibri" w:hAnsi="Calibri"/>
          <w:b/>
          <w:bCs/>
          <w:sz w:val="21"/>
          <w:szCs w:val="21"/>
        </w:rPr>
        <w:t xml:space="preserve">8.1 </w:t>
      </w:r>
      <w:r>
        <w:rPr>
          <w:rFonts w:ascii="Calibri" w:cs="Calibri" w:eastAsia="Calibri" w:hAnsi="Calibri"/>
          <w:sz w:val="21"/>
          <w:szCs w:val="21"/>
        </w:rPr>
        <w:t xml:space="preserve">Subject to full payment of the fees due for the relevant Deliverables, Orbit assigns to the Client all right, title and interest in the custom Deliverables created specifically for the Client under an SOW, upon such payment.</w:t>
      </w:r>
    </w:p>
    <w:p>
      <w:pPr>
        <w:spacing w:after="120" w:line="264"/>
        <w:ind w:left="720" w:hanging="720"/>
      </w:pPr>
      <w:r>
        <w:rPr>
          <w:rFonts w:ascii="Calibri" w:cs="Calibri" w:eastAsia="Calibri" w:hAnsi="Calibri"/>
          <w:b/>
          <w:bCs/>
          <w:sz w:val="21"/>
          <w:szCs w:val="21"/>
        </w:rPr>
        <w:t xml:space="preserve">8.2 </w:t>
      </w:r>
      <w:r>
        <w:rPr>
          <w:rFonts w:ascii="Calibri" w:cs="Calibri" w:eastAsia="Calibri" w:hAnsi="Calibri"/>
          <w:sz w:val="21"/>
          <w:szCs w:val="21"/>
        </w:rPr>
        <w:t xml:space="preserve">Each Party retains ownership of its Background IP. Orbit grants the Client a perpetual, non-exclusive, worldwide licence to use Orbit's Background IP to the extent it is embedded in a Deliverable and necessary to use that Deliverable.</w:t>
      </w:r>
    </w:p>
    <w:p>
      <w:pPr>
        <w:spacing w:after="120" w:line="264"/>
        <w:ind w:left="720" w:hanging="720"/>
      </w:pPr>
      <w:r>
        <w:rPr>
          <w:rFonts w:ascii="Calibri" w:cs="Calibri" w:eastAsia="Calibri" w:hAnsi="Calibri"/>
          <w:b/>
          <w:bCs/>
          <w:sz w:val="21"/>
          <w:szCs w:val="21"/>
        </w:rPr>
        <w:t xml:space="preserve">8.3 </w:t>
      </w:r>
      <w:r>
        <w:rPr>
          <w:rFonts w:ascii="Calibri" w:cs="Calibri" w:eastAsia="Calibri" w:hAnsi="Calibri"/>
          <w:sz w:val="21"/>
          <w:szCs w:val="21"/>
        </w:rPr>
        <w:t xml:space="preserve">Deliverables may include third-party or open-source components licensed under their own terms. Orbit will identify material open-source components on request; the Client's use of those components is governed by the applicable third-party licences.</w:t>
      </w:r>
    </w:p>
    <w:p>
      <w:pPr>
        <w:spacing w:after="120" w:line="264"/>
        <w:ind w:left="720" w:hanging="720"/>
      </w:pPr>
      <w:r>
        <w:rPr>
          <w:rFonts w:ascii="Calibri" w:cs="Calibri" w:eastAsia="Calibri" w:hAnsi="Calibri"/>
          <w:b/>
          <w:bCs/>
          <w:sz w:val="21"/>
          <w:szCs w:val="21"/>
        </w:rPr>
        <w:t xml:space="preserve">8.4 </w:t>
      </w:r>
      <w:r>
        <w:rPr>
          <w:rFonts w:ascii="Calibri" w:cs="Calibri" w:eastAsia="Calibri" w:hAnsi="Calibri"/>
          <w:sz w:val="21"/>
          <w:szCs w:val="21"/>
        </w:rPr>
        <w:t xml:space="preserve">Until full payment is received, all Deliverables are licensed to the Client on a limited, revocable basis solely for evaluation and acceptance, and title does not pass.</w:t>
      </w:r>
    </w:p>
    <w:p>
      <w:pPr>
        <w:spacing w:after="120" w:line="264"/>
        <w:ind w:left="720" w:hanging="720"/>
      </w:pPr>
      <w:r>
        <w:rPr>
          <w:rFonts w:ascii="Calibri" w:cs="Calibri" w:eastAsia="Calibri" w:hAnsi="Calibri"/>
          <w:b/>
          <w:bCs/>
          <w:sz w:val="21"/>
          <w:szCs w:val="21"/>
        </w:rPr>
        <w:t xml:space="preserve">8.5 </w:t>
      </w:r>
      <w:r>
        <w:rPr>
          <w:rFonts w:ascii="Calibri" w:cs="Calibri" w:eastAsia="Calibri" w:hAnsi="Calibri"/>
          <w:sz w:val="21"/>
          <w:szCs w:val="21"/>
        </w:rPr>
        <w:t xml:space="preserve">Orbit may retain and reuse general skills, know-how, techniques and non-Client-specific components of general application. Orbit may reference the engagement and use the Client's name and logo in its portfolio and marketing unless the SOW states otherwise.</w:t>
      </w:r>
    </w:p>
    <w:p>
      <w:pPr>
        <w:pStyle w:val="Heading1"/>
        <w:keepNext/>
        <w:spacing w:after="120" w:before="260"/>
      </w:pPr>
      <w:r>
        <w:rPr>
          <w:rFonts w:ascii="Calibri" w:cs="Calibri" w:eastAsia="Calibri" w:hAnsi="Calibri"/>
          <w:b/>
          <w:bCs/>
          <w:color w:val="14213D"/>
          <w:sz w:val="24"/>
          <w:szCs w:val="24"/>
        </w:rPr>
        <w:t xml:space="preserve">9.  Confidentiality</w:t>
      </w:r>
    </w:p>
    <w:p>
      <w:pPr>
        <w:spacing w:after="120" w:line="264"/>
        <w:ind w:left="720" w:hanging="720"/>
      </w:pPr>
      <w:r>
        <w:rPr>
          <w:rFonts w:ascii="Calibri" w:cs="Calibri" w:eastAsia="Calibri" w:hAnsi="Calibri"/>
          <w:b/>
          <w:bCs/>
          <w:sz w:val="21"/>
          <w:szCs w:val="21"/>
        </w:rPr>
        <w:t xml:space="preserve">9.1 </w:t>
      </w:r>
      <w:r>
        <w:rPr>
          <w:rFonts w:ascii="Calibri" w:cs="Calibri" w:eastAsia="Calibri" w:hAnsi="Calibri"/>
          <w:sz w:val="21"/>
          <w:szCs w:val="21"/>
        </w:rPr>
        <w:t xml:space="preserve">Each Party will protect the other's Confidential Information using at least the same degree of care it uses for its own, and no less than reasonable care, and will use it only to perform this Agreement.</w:t>
      </w:r>
    </w:p>
    <w:p>
      <w:pPr>
        <w:spacing w:after="120" w:line="264"/>
        <w:ind w:left="720" w:hanging="720"/>
      </w:pPr>
      <w:r>
        <w:rPr>
          <w:rFonts w:ascii="Calibri" w:cs="Calibri" w:eastAsia="Calibri" w:hAnsi="Calibri"/>
          <w:b/>
          <w:bCs/>
          <w:sz w:val="21"/>
          <w:szCs w:val="21"/>
        </w:rPr>
        <w:t xml:space="preserve">9.2 </w:t>
      </w:r>
      <w:r>
        <w:rPr>
          <w:rFonts w:ascii="Calibri" w:cs="Calibri" w:eastAsia="Calibri" w:hAnsi="Calibri"/>
          <w:sz w:val="21"/>
          <w:szCs w:val="21"/>
        </w:rPr>
        <w:t xml:space="preserve">Confidentiality obligations do not apply to information that is public through no fault of the receiving Party, independently developed, rightfully received from a third party, or required to be disclosed by law (with prior notice where lawful).</w:t>
      </w:r>
    </w:p>
    <w:p>
      <w:pPr>
        <w:spacing w:after="120" w:line="264"/>
        <w:ind w:left="720" w:hanging="720"/>
      </w:pPr>
      <w:r>
        <w:rPr>
          <w:rFonts w:ascii="Calibri" w:cs="Calibri" w:eastAsia="Calibri" w:hAnsi="Calibri"/>
          <w:b/>
          <w:bCs/>
          <w:sz w:val="21"/>
          <w:szCs w:val="21"/>
        </w:rPr>
        <w:t xml:space="preserve">9.3 </w:t>
      </w:r>
      <w:r>
        <w:rPr>
          <w:rFonts w:ascii="Calibri" w:cs="Calibri" w:eastAsia="Calibri" w:hAnsi="Calibri"/>
          <w:sz w:val="21"/>
          <w:szCs w:val="21"/>
        </w:rPr>
        <w:t xml:space="preserve">These obligations survive for </w:t>
      </w:r>
      <w:r>
        <w:rPr>
          <w:rFonts w:ascii="Calibri" w:cs="Calibri" w:eastAsia="Calibri" w:hAnsi="Calibri"/>
          <w:b/>
          <w:bCs/>
          <w:color w:val="B54708"/>
          <w:sz w:val="21"/>
          <w:szCs w:val="21"/>
        </w:rPr>
        <w:t xml:space="preserve">[confidentiality survival, e.g. 3]</w:t>
      </w:r>
      <w:r>
        <w:rPr>
          <w:rFonts w:ascii="Calibri" w:cs="Calibri" w:eastAsia="Calibri" w:hAnsi="Calibri"/>
          <w:sz w:val="21"/>
          <w:szCs w:val="21"/>
        </w:rPr>
        <w:t xml:space="preserve"> years after termination, and indefinitely for source code and trade secrets.</w:t>
      </w:r>
    </w:p>
    <w:p>
      <w:pPr>
        <w:pStyle w:val="Heading1"/>
        <w:keepNext/>
        <w:spacing w:after="120" w:before="260"/>
      </w:pPr>
      <w:r>
        <w:rPr>
          <w:rFonts w:ascii="Calibri" w:cs="Calibri" w:eastAsia="Calibri" w:hAnsi="Calibri"/>
          <w:b/>
          <w:bCs/>
          <w:color w:val="14213D"/>
          <w:sz w:val="24"/>
          <w:szCs w:val="24"/>
        </w:rPr>
        <w:t xml:space="preserve">10.  Data Protection and Security</w:t>
      </w:r>
    </w:p>
    <w:p>
      <w:pPr>
        <w:spacing w:after="120" w:line="264"/>
        <w:ind w:left="720" w:hanging="720"/>
      </w:pPr>
      <w:r>
        <w:rPr>
          <w:rFonts w:ascii="Calibri" w:cs="Calibri" w:eastAsia="Calibri" w:hAnsi="Calibri"/>
          <w:b/>
          <w:bCs/>
          <w:sz w:val="21"/>
          <w:szCs w:val="21"/>
        </w:rPr>
        <w:t xml:space="preserve">10.1 </w:t>
      </w:r>
      <w:r>
        <w:rPr>
          <w:rFonts w:ascii="Calibri" w:cs="Calibri" w:eastAsia="Calibri" w:hAnsi="Calibri"/>
          <w:sz w:val="21"/>
          <w:szCs w:val="21"/>
        </w:rPr>
        <w:t xml:space="preserve">Where Orbit processes personal data on the Client's behalf, it will do so only on the Client's documented instructions and will apply appropriate technical and organisational security measures.</w:t>
      </w:r>
    </w:p>
    <w:p>
      <w:pPr>
        <w:spacing w:after="120" w:line="264"/>
        <w:ind w:left="720" w:hanging="720"/>
      </w:pPr>
      <w:r>
        <w:rPr>
          <w:rFonts w:ascii="Calibri" w:cs="Calibri" w:eastAsia="Calibri" w:hAnsi="Calibri"/>
          <w:b/>
          <w:bCs/>
          <w:sz w:val="21"/>
          <w:szCs w:val="21"/>
        </w:rPr>
        <w:t xml:space="preserve">10.2 </w:t>
      </w:r>
      <w:r>
        <w:rPr>
          <w:rFonts w:ascii="Calibri" w:cs="Calibri" w:eastAsia="Calibri" w:hAnsi="Calibri"/>
          <w:sz w:val="21"/>
          <w:szCs w:val="21"/>
        </w:rPr>
        <w:t xml:space="preserve">The Parties will comply with applicable data protection laws. For clients subject to the EU GDPR, UK GDPR or similar regimes, the Parties will, on request, enter into a data processing addendum containing the required terms.</w:t>
      </w:r>
    </w:p>
    <w:p>
      <w:pPr>
        <w:spacing w:after="120" w:line="264"/>
        <w:ind w:left="720" w:hanging="720"/>
      </w:pPr>
      <w:r>
        <w:rPr>
          <w:rFonts w:ascii="Calibri" w:cs="Calibri" w:eastAsia="Calibri" w:hAnsi="Calibri"/>
          <w:b/>
          <w:bCs/>
          <w:sz w:val="21"/>
          <w:szCs w:val="21"/>
        </w:rPr>
        <w:t xml:space="preserve">10.3 </w:t>
      </w:r>
      <w:r>
        <w:rPr>
          <w:rFonts w:ascii="Calibri" w:cs="Calibri" w:eastAsia="Calibri" w:hAnsi="Calibri"/>
          <w:sz w:val="21"/>
          <w:szCs w:val="21"/>
        </w:rPr>
        <w:t xml:space="preserve">Each Party will notify the other without undue delay after becoming aware of a personal data breach affecting the other's data.</w:t>
      </w:r>
    </w:p>
    <w:p>
      <w:pPr>
        <w:pStyle w:val="Heading1"/>
        <w:keepNext/>
        <w:spacing w:after="120" w:before="260"/>
      </w:pPr>
      <w:r>
        <w:rPr>
          <w:rFonts w:ascii="Calibri" w:cs="Calibri" w:eastAsia="Calibri" w:hAnsi="Calibri"/>
          <w:b/>
          <w:bCs/>
          <w:color w:val="14213D"/>
          <w:sz w:val="24"/>
          <w:szCs w:val="24"/>
        </w:rPr>
        <w:t xml:space="preserve">11.  Warranties</w:t>
      </w:r>
    </w:p>
    <w:p>
      <w:pPr>
        <w:spacing w:after="120" w:line="264"/>
        <w:ind w:left="720" w:hanging="720"/>
      </w:pPr>
      <w:r>
        <w:rPr>
          <w:rFonts w:ascii="Calibri" w:cs="Calibri" w:eastAsia="Calibri" w:hAnsi="Calibri"/>
          <w:b/>
          <w:bCs/>
          <w:sz w:val="21"/>
          <w:szCs w:val="21"/>
        </w:rPr>
        <w:t xml:space="preserve">11.1 </w:t>
      </w:r>
      <w:r>
        <w:rPr>
          <w:rFonts w:ascii="Calibri" w:cs="Calibri" w:eastAsia="Calibri" w:hAnsi="Calibri"/>
          <w:sz w:val="21"/>
          <w:szCs w:val="21"/>
        </w:rPr>
        <w:t xml:space="preserve">Orbit warrants that, for </w:t>
      </w:r>
      <w:r>
        <w:rPr>
          <w:rFonts w:ascii="Calibri" w:cs="Calibri" w:eastAsia="Calibri" w:hAnsi="Calibri"/>
          <w:b/>
          <w:bCs/>
          <w:color w:val="B54708"/>
          <w:sz w:val="21"/>
          <w:szCs w:val="21"/>
        </w:rPr>
        <w:t xml:space="preserve">[warranty period, e.g. 30]</w:t>
      </w:r>
      <w:r>
        <w:rPr>
          <w:rFonts w:ascii="Calibri" w:cs="Calibri" w:eastAsia="Calibri" w:hAnsi="Calibri"/>
          <w:sz w:val="21"/>
          <w:szCs w:val="21"/>
        </w:rPr>
        <w:t xml:space="preserve"> days after acceptance, the Deliverables will materially conform to the Acceptance Criteria. As the Client's sole remedy for a breach of this warranty, Orbit will re-perform or correct the non-conforming Deliverable at no additional charge.</w:t>
      </w:r>
    </w:p>
    <w:p>
      <w:pPr>
        <w:spacing w:after="120" w:line="264"/>
        <w:ind w:left="720" w:hanging="720"/>
      </w:pPr>
      <w:r>
        <w:rPr>
          <w:rFonts w:ascii="Calibri" w:cs="Calibri" w:eastAsia="Calibri" w:hAnsi="Calibri"/>
          <w:b/>
          <w:bCs/>
          <w:sz w:val="21"/>
          <w:szCs w:val="21"/>
        </w:rPr>
        <w:t xml:space="preserve">11.2 </w:t>
      </w:r>
      <w:r>
        <w:rPr>
          <w:rFonts w:ascii="Calibri" w:cs="Calibri" w:eastAsia="Calibri" w:hAnsi="Calibri"/>
          <w:sz w:val="21"/>
          <w:szCs w:val="21"/>
        </w:rPr>
        <w:t xml:space="preserve">Each Party warrants that it has the authority to enter into this Agreement and that doing so does not breach any other obligation.</w:t>
      </w:r>
    </w:p>
    <w:p>
      <w:pPr>
        <w:spacing w:after="120" w:line="264"/>
        <w:ind w:left="720" w:hanging="720"/>
      </w:pPr>
      <w:r>
        <w:rPr>
          <w:rFonts w:ascii="Calibri" w:cs="Calibri" w:eastAsia="Calibri" w:hAnsi="Calibri"/>
          <w:b/>
          <w:bCs/>
          <w:sz w:val="21"/>
          <w:szCs w:val="21"/>
        </w:rPr>
        <w:t xml:space="preserve">11.3 </w:t>
      </w:r>
      <w:r>
        <w:rPr>
          <w:rFonts w:ascii="Calibri" w:cs="Calibri" w:eastAsia="Calibri" w:hAnsi="Calibri"/>
          <w:sz w:val="21"/>
          <w:szCs w:val="21"/>
        </w:rPr>
        <w:t xml:space="preserve">Except as expressly stated, the Services and Deliverables are provided “as is,” and Orbit disclaims all other warranties, whether express or implied, including implied warranties of merchantability and fitness for a particular purpose. Orbit does not warrant that software will be uninterrupted or error-free.</w:t>
      </w:r>
    </w:p>
    <w:p>
      <w:pPr>
        <w:pStyle w:val="Heading1"/>
        <w:keepNext/>
        <w:spacing w:after="120" w:before="260"/>
      </w:pPr>
      <w:r>
        <w:rPr>
          <w:rFonts w:ascii="Calibri" w:cs="Calibri" w:eastAsia="Calibri" w:hAnsi="Calibri"/>
          <w:b/>
          <w:bCs/>
          <w:color w:val="14213D"/>
          <w:sz w:val="24"/>
          <w:szCs w:val="24"/>
        </w:rPr>
        <w:t xml:space="preserve">12.  Limitation of Liability</w:t>
      </w:r>
    </w:p>
    <w:p>
      <w:pPr>
        <w:spacing w:after="120" w:line="264"/>
        <w:ind w:left="720" w:hanging="720"/>
      </w:pPr>
      <w:r>
        <w:rPr>
          <w:rFonts w:ascii="Calibri" w:cs="Calibri" w:eastAsia="Calibri" w:hAnsi="Calibri"/>
          <w:b/>
          <w:bCs/>
          <w:sz w:val="21"/>
          <w:szCs w:val="21"/>
        </w:rPr>
        <w:t xml:space="preserve">12.1 </w:t>
      </w:r>
      <w:r>
        <w:rPr>
          <w:rFonts w:ascii="Calibri" w:cs="Calibri" w:eastAsia="Calibri" w:hAnsi="Calibri"/>
          <w:sz w:val="21"/>
          <w:szCs w:val="21"/>
        </w:rPr>
        <w:t xml:space="preserve">Neither Party is liable for indirect, incidental, special, consequential or punitive damages, or for loss of profits, revenue, data or goodwill, even if advised of the possibility.</w:t>
      </w:r>
    </w:p>
    <w:p>
      <w:pPr>
        <w:spacing w:after="120" w:line="264"/>
        <w:ind w:left="720" w:hanging="720"/>
      </w:pPr>
      <w:r>
        <w:rPr>
          <w:rFonts w:ascii="Calibri" w:cs="Calibri" w:eastAsia="Calibri" w:hAnsi="Calibri"/>
          <w:b/>
          <w:bCs/>
          <w:sz w:val="21"/>
          <w:szCs w:val="21"/>
        </w:rPr>
        <w:t xml:space="preserve">12.2 </w:t>
      </w:r>
      <w:r>
        <w:rPr>
          <w:rFonts w:ascii="Calibri" w:cs="Calibri" w:eastAsia="Calibri" w:hAnsi="Calibri"/>
          <w:sz w:val="21"/>
          <w:szCs w:val="21"/>
        </w:rPr>
        <w:t xml:space="preserve">Each Party's total aggregate liability arising out of or related to an SOW will not exceed the total fees paid by the Client to Orbit under that SOW in the </w:t>
      </w:r>
      <w:r>
        <w:rPr>
          <w:rFonts w:ascii="Calibri" w:cs="Calibri" w:eastAsia="Calibri" w:hAnsi="Calibri"/>
          <w:b/>
          <w:bCs/>
          <w:color w:val="B54708"/>
          <w:sz w:val="21"/>
          <w:szCs w:val="21"/>
        </w:rPr>
        <w:t xml:space="preserve">[liability cap window, e.g. 6]</w:t>
      </w:r>
      <w:r>
        <w:rPr>
          <w:rFonts w:ascii="Calibri" w:cs="Calibri" w:eastAsia="Calibri" w:hAnsi="Calibri"/>
          <w:sz w:val="21"/>
          <w:szCs w:val="21"/>
        </w:rPr>
        <w:t xml:space="preserve"> months preceding the event giving rise to the claim.</w:t>
      </w:r>
    </w:p>
    <w:p>
      <w:pPr>
        <w:spacing w:after="120" w:line="264"/>
        <w:ind w:left="720" w:hanging="720"/>
      </w:pPr>
      <w:r>
        <w:rPr>
          <w:rFonts w:ascii="Calibri" w:cs="Calibri" w:eastAsia="Calibri" w:hAnsi="Calibri"/>
          <w:b/>
          <w:bCs/>
          <w:sz w:val="21"/>
          <w:szCs w:val="21"/>
        </w:rPr>
        <w:t xml:space="preserve">12.3 </w:t>
      </w:r>
      <w:r>
        <w:rPr>
          <w:rFonts w:ascii="Calibri" w:cs="Calibri" w:eastAsia="Calibri" w:hAnsi="Calibri"/>
          <w:sz w:val="21"/>
          <w:szCs w:val="21"/>
        </w:rPr>
        <w:t xml:space="preserve">The limitations in this clause do not apply to a Party's confidentiality breach, indemnification obligations, infringement of the other's intellectual property, or liability that cannot be limited by law.</w:t>
      </w:r>
    </w:p>
    <w:p>
      <w:pPr>
        <w:pStyle w:val="Heading1"/>
        <w:keepNext/>
        <w:spacing w:after="120" w:before="260"/>
      </w:pPr>
      <w:r>
        <w:rPr>
          <w:rFonts w:ascii="Calibri" w:cs="Calibri" w:eastAsia="Calibri" w:hAnsi="Calibri"/>
          <w:b/>
          <w:bCs/>
          <w:color w:val="14213D"/>
          <w:sz w:val="24"/>
          <w:szCs w:val="24"/>
        </w:rPr>
        <w:t xml:space="preserve">13.  Indemnification</w:t>
      </w:r>
    </w:p>
    <w:p>
      <w:pPr>
        <w:spacing w:after="120" w:line="264"/>
        <w:ind w:left="720" w:hanging="720"/>
      </w:pPr>
      <w:r>
        <w:rPr>
          <w:rFonts w:ascii="Calibri" w:cs="Calibri" w:eastAsia="Calibri" w:hAnsi="Calibri"/>
          <w:b/>
          <w:bCs/>
          <w:sz w:val="21"/>
          <w:szCs w:val="21"/>
        </w:rPr>
        <w:t xml:space="preserve">13.1 </w:t>
      </w:r>
      <w:r>
        <w:rPr>
          <w:rFonts w:ascii="Calibri" w:cs="Calibri" w:eastAsia="Calibri" w:hAnsi="Calibri"/>
          <w:sz w:val="21"/>
          <w:szCs w:val="21"/>
        </w:rPr>
        <w:t xml:space="preserve">Orbit will defend and indemnify the Client against third-party claims that a custom Deliverable, as delivered by Orbit, infringes that third party's intellectual property rights, provided the Client promptly notifies Orbit and allows Orbit to control the defence.</w:t>
      </w:r>
    </w:p>
    <w:p>
      <w:pPr>
        <w:spacing w:after="120" w:line="264"/>
        <w:ind w:left="720" w:hanging="720"/>
      </w:pPr>
      <w:r>
        <w:rPr>
          <w:rFonts w:ascii="Calibri" w:cs="Calibri" w:eastAsia="Calibri" w:hAnsi="Calibri"/>
          <w:b/>
          <w:bCs/>
          <w:sz w:val="21"/>
          <w:szCs w:val="21"/>
        </w:rPr>
        <w:t xml:space="preserve">13.2 </w:t>
      </w:r>
      <w:r>
        <w:rPr>
          <w:rFonts w:ascii="Calibri" w:cs="Calibri" w:eastAsia="Calibri" w:hAnsi="Calibri"/>
          <w:sz w:val="21"/>
          <w:szCs w:val="21"/>
        </w:rPr>
        <w:t xml:space="preserve">Orbit's indemnity does not apply to claims arising from the Client's materials, the Client's modifications, combination of a Deliverable with items not supplied by Orbit, or use contrary to Orbit's instructions.</w:t>
      </w:r>
    </w:p>
    <w:p>
      <w:pPr>
        <w:spacing w:after="120" w:line="264"/>
        <w:ind w:left="720" w:hanging="720"/>
      </w:pPr>
      <w:r>
        <w:rPr>
          <w:rFonts w:ascii="Calibri" w:cs="Calibri" w:eastAsia="Calibri" w:hAnsi="Calibri"/>
          <w:b/>
          <w:bCs/>
          <w:sz w:val="21"/>
          <w:szCs w:val="21"/>
        </w:rPr>
        <w:t xml:space="preserve">13.3 </w:t>
      </w:r>
      <w:r>
        <w:rPr>
          <w:rFonts w:ascii="Calibri" w:cs="Calibri" w:eastAsia="Calibri" w:hAnsi="Calibri"/>
          <w:sz w:val="21"/>
          <w:szCs w:val="21"/>
        </w:rPr>
        <w:t xml:space="preserve">The Client will defend and indemnify Orbit against third-party claims arising from the Client's materials, data, or instructions, or from the Client's use of the Deliverables.</w:t>
      </w:r>
    </w:p>
    <w:p>
      <w:pPr>
        <w:pStyle w:val="Heading1"/>
        <w:keepNext/>
        <w:spacing w:after="120" w:before="260"/>
      </w:pPr>
      <w:r>
        <w:rPr>
          <w:rFonts w:ascii="Calibri" w:cs="Calibri" w:eastAsia="Calibri" w:hAnsi="Calibri"/>
          <w:b/>
          <w:bCs/>
          <w:color w:val="14213D"/>
          <w:sz w:val="24"/>
          <w:szCs w:val="24"/>
        </w:rPr>
        <w:t xml:space="preserve">14.  Relationship and Non-Solicitation</w:t>
      </w:r>
    </w:p>
    <w:p>
      <w:pPr>
        <w:spacing w:after="120" w:line="264"/>
        <w:ind w:left="720" w:hanging="720"/>
      </w:pPr>
      <w:r>
        <w:rPr>
          <w:rFonts w:ascii="Calibri" w:cs="Calibri" w:eastAsia="Calibri" w:hAnsi="Calibri"/>
          <w:b/>
          <w:bCs/>
          <w:sz w:val="21"/>
          <w:szCs w:val="21"/>
        </w:rPr>
        <w:t xml:space="preserve">14.1 </w:t>
      </w:r>
      <w:r>
        <w:rPr>
          <w:rFonts w:ascii="Calibri" w:cs="Calibri" w:eastAsia="Calibri" w:hAnsi="Calibri"/>
          <w:sz w:val="21"/>
          <w:szCs w:val="21"/>
        </w:rPr>
        <w:t xml:space="preserve">Orbit is an independent contractor. Nothing in this Agreement creates a partnership, joint venture, agency or employment relationship between the Parties or their personnel.</w:t>
      </w:r>
    </w:p>
    <w:p>
      <w:pPr>
        <w:spacing w:after="120" w:line="264"/>
        <w:ind w:left="720" w:hanging="720"/>
      </w:pPr>
      <w:r>
        <w:rPr>
          <w:rFonts w:ascii="Calibri" w:cs="Calibri" w:eastAsia="Calibri" w:hAnsi="Calibri"/>
          <w:b/>
          <w:bCs/>
          <w:sz w:val="21"/>
          <w:szCs w:val="21"/>
        </w:rPr>
        <w:t xml:space="preserve">14.2 </w:t>
      </w:r>
      <w:r>
        <w:rPr>
          <w:rFonts w:ascii="Calibri" w:cs="Calibri" w:eastAsia="Calibri" w:hAnsi="Calibri"/>
          <w:sz w:val="21"/>
          <w:szCs w:val="21"/>
        </w:rPr>
        <w:t xml:space="preserve">During the term and for </w:t>
      </w:r>
      <w:r>
        <w:rPr>
          <w:rFonts w:ascii="Calibri" w:cs="Calibri" w:eastAsia="Calibri" w:hAnsi="Calibri"/>
          <w:b/>
          <w:bCs/>
          <w:color w:val="B54708"/>
          <w:sz w:val="21"/>
          <w:szCs w:val="21"/>
        </w:rPr>
        <w:t xml:space="preserve">[non-solicit period, e.g. 12]</w:t>
      </w:r>
      <w:r>
        <w:rPr>
          <w:rFonts w:ascii="Calibri" w:cs="Calibri" w:eastAsia="Calibri" w:hAnsi="Calibri"/>
          <w:sz w:val="21"/>
          <w:szCs w:val="21"/>
        </w:rPr>
        <w:t xml:space="preserve"> months after, neither Party will directly solicit for employment any personnel of the other who were materially involved in the Services, except through general public advertising.</w:t>
      </w:r>
    </w:p>
    <w:p>
      <w:pPr>
        <w:pStyle w:val="Heading1"/>
        <w:keepNext/>
        <w:spacing w:after="120" w:before="260"/>
      </w:pPr>
      <w:r>
        <w:rPr>
          <w:rFonts w:ascii="Calibri" w:cs="Calibri" w:eastAsia="Calibri" w:hAnsi="Calibri"/>
          <w:b/>
          <w:bCs/>
          <w:color w:val="14213D"/>
          <w:sz w:val="24"/>
          <w:szCs w:val="24"/>
        </w:rPr>
        <w:t xml:space="preserve">15.  Term and Termination</w:t>
      </w:r>
    </w:p>
    <w:p>
      <w:pPr>
        <w:spacing w:after="120" w:line="264"/>
        <w:ind w:left="720" w:hanging="720"/>
      </w:pPr>
      <w:r>
        <w:rPr>
          <w:rFonts w:ascii="Calibri" w:cs="Calibri" w:eastAsia="Calibri" w:hAnsi="Calibri"/>
          <w:b/>
          <w:bCs/>
          <w:sz w:val="21"/>
          <w:szCs w:val="21"/>
        </w:rPr>
        <w:t xml:space="preserve">15.1 </w:t>
      </w:r>
      <w:r>
        <w:rPr>
          <w:rFonts w:ascii="Calibri" w:cs="Calibri" w:eastAsia="Calibri" w:hAnsi="Calibri"/>
          <w:sz w:val="21"/>
          <w:szCs w:val="21"/>
        </w:rPr>
        <w:t xml:space="preserve">This Agreement begins on the Effective Date and continues until terminated. It applies to all SOWs entered into while it is in force.</w:t>
      </w:r>
    </w:p>
    <w:p>
      <w:pPr>
        <w:spacing w:after="120" w:line="264"/>
        <w:ind w:left="720" w:hanging="720"/>
      </w:pPr>
      <w:r>
        <w:rPr>
          <w:rFonts w:ascii="Calibri" w:cs="Calibri" w:eastAsia="Calibri" w:hAnsi="Calibri"/>
          <w:b/>
          <w:bCs/>
          <w:sz w:val="21"/>
          <w:szCs w:val="21"/>
        </w:rPr>
        <w:t xml:space="preserve">15.2 </w:t>
      </w:r>
      <w:r>
        <w:rPr>
          <w:rFonts w:ascii="Calibri" w:cs="Calibri" w:eastAsia="Calibri" w:hAnsi="Calibri"/>
          <w:sz w:val="21"/>
          <w:szCs w:val="21"/>
        </w:rPr>
        <w:t xml:space="preserve">Either Party may terminate this Agreement or any SOW for convenience on </w:t>
      </w:r>
      <w:r>
        <w:rPr>
          <w:rFonts w:ascii="Calibri" w:cs="Calibri" w:eastAsia="Calibri" w:hAnsi="Calibri"/>
          <w:b/>
          <w:bCs/>
          <w:color w:val="B54708"/>
          <w:sz w:val="21"/>
          <w:szCs w:val="21"/>
        </w:rPr>
        <w:t xml:space="preserve">[termination notice, e.g. 30]</w:t>
      </w:r>
      <w:r>
        <w:rPr>
          <w:rFonts w:ascii="Calibri" w:cs="Calibri" w:eastAsia="Calibri" w:hAnsi="Calibri"/>
          <w:sz w:val="21"/>
          <w:szCs w:val="21"/>
        </w:rPr>
        <w:t xml:space="preserve"> days' written notice, subject to payment for Services performed up to termination.</w:t>
      </w:r>
    </w:p>
    <w:p>
      <w:pPr>
        <w:spacing w:after="120" w:line="264"/>
        <w:ind w:left="720" w:hanging="720"/>
      </w:pPr>
      <w:r>
        <w:rPr>
          <w:rFonts w:ascii="Calibri" w:cs="Calibri" w:eastAsia="Calibri" w:hAnsi="Calibri"/>
          <w:b/>
          <w:bCs/>
          <w:sz w:val="21"/>
          <w:szCs w:val="21"/>
        </w:rPr>
        <w:t xml:space="preserve">15.3 </w:t>
      </w:r>
      <w:r>
        <w:rPr>
          <w:rFonts w:ascii="Calibri" w:cs="Calibri" w:eastAsia="Calibri" w:hAnsi="Calibri"/>
          <w:sz w:val="21"/>
          <w:szCs w:val="21"/>
        </w:rPr>
        <w:t xml:space="preserve">Either Party may terminate for cause if the other materially breaches and fails to cure within </w:t>
      </w:r>
      <w:r>
        <w:rPr>
          <w:rFonts w:ascii="Calibri" w:cs="Calibri" w:eastAsia="Calibri" w:hAnsi="Calibri"/>
          <w:b/>
          <w:bCs/>
          <w:color w:val="B54708"/>
          <w:sz w:val="21"/>
          <w:szCs w:val="21"/>
        </w:rPr>
        <w:t xml:space="preserve">[cure period, e.g. 15]</w:t>
      </w:r>
      <w:r>
        <w:rPr>
          <w:rFonts w:ascii="Calibri" w:cs="Calibri" w:eastAsia="Calibri" w:hAnsi="Calibri"/>
          <w:sz w:val="21"/>
          <w:szCs w:val="21"/>
        </w:rPr>
        <w:t xml:space="preserve"> days of written notice, or becomes insolvent.</w:t>
      </w:r>
    </w:p>
    <w:p>
      <w:pPr>
        <w:spacing w:after="120" w:line="264"/>
        <w:ind w:left="720" w:hanging="720"/>
      </w:pPr>
      <w:r>
        <w:rPr>
          <w:rFonts w:ascii="Calibri" w:cs="Calibri" w:eastAsia="Calibri" w:hAnsi="Calibri"/>
          <w:b/>
          <w:bCs/>
          <w:sz w:val="21"/>
          <w:szCs w:val="21"/>
        </w:rPr>
        <w:t xml:space="preserve">15.4 </w:t>
      </w:r>
      <w:r>
        <w:rPr>
          <w:rFonts w:ascii="Calibri" w:cs="Calibri" w:eastAsia="Calibri" w:hAnsi="Calibri"/>
          <w:sz w:val="21"/>
          <w:szCs w:val="21"/>
        </w:rPr>
        <w:t xml:space="preserve">On termination, the Client will pay for all Services performed and expenses incurred up to the termination date. On request and payment of amounts due, Orbit will hand over completed Deliverables and provide reasonable transition assistance at its then-current rates.</w:t>
      </w:r>
    </w:p>
    <w:p>
      <w:pPr>
        <w:spacing w:after="120" w:line="264"/>
        <w:ind w:left="720" w:hanging="720"/>
      </w:pPr>
      <w:r>
        <w:rPr>
          <w:rFonts w:ascii="Calibri" w:cs="Calibri" w:eastAsia="Calibri" w:hAnsi="Calibri"/>
          <w:b/>
          <w:bCs/>
          <w:sz w:val="21"/>
          <w:szCs w:val="21"/>
        </w:rPr>
        <w:t xml:space="preserve">15.5 </w:t>
      </w:r>
      <w:r>
        <w:rPr>
          <w:rFonts w:ascii="Calibri" w:cs="Calibri" w:eastAsia="Calibri" w:hAnsi="Calibri"/>
          <w:sz w:val="21"/>
          <w:szCs w:val="21"/>
        </w:rPr>
        <w:t xml:space="preserve">Clauses that by their nature should survive termination — including intellectual property, confidentiality, payment, liability, indemnity and governing law — will survive.</w:t>
      </w:r>
    </w:p>
    <w:p>
      <w:pPr>
        <w:pStyle w:val="Heading1"/>
        <w:keepNext/>
        <w:spacing w:after="120" w:before="260"/>
      </w:pPr>
      <w:r>
        <w:rPr>
          <w:rFonts w:ascii="Calibri" w:cs="Calibri" w:eastAsia="Calibri" w:hAnsi="Calibri"/>
          <w:b/>
          <w:bCs/>
          <w:color w:val="14213D"/>
          <w:sz w:val="24"/>
          <w:szCs w:val="24"/>
        </w:rPr>
        <w:t xml:space="preserve">16.  Force Majeure</w:t>
      </w:r>
    </w:p>
    <w:p>
      <w:pPr>
        <w:spacing w:after="120" w:line="264"/>
        <w:ind w:left="720" w:hanging="720"/>
      </w:pPr>
      <w:r>
        <w:rPr>
          <w:rFonts w:ascii="Calibri" w:cs="Calibri" w:eastAsia="Calibri" w:hAnsi="Calibri"/>
          <w:b/>
          <w:bCs/>
          <w:sz w:val="21"/>
          <w:szCs w:val="21"/>
        </w:rPr>
        <w:t xml:space="preserve">16.1 </w:t>
      </w:r>
      <w:r>
        <w:rPr>
          <w:rFonts w:ascii="Calibri" w:cs="Calibri" w:eastAsia="Calibri" w:hAnsi="Calibri"/>
          <w:sz w:val="21"/>
          <w:szCs w:val="21"/>
        </w:rPr>
        <w:t xml:space="preserve">Neither Party is liable for delay or failure caused by events beyond its reasonable control, including natural disasters, war, civil unrest, epidemics, government action, or failure of internet, power or telecommunications infrastructure. The affected Party will notify the other and use reasonable efforts to resume performance.</w:t>
      </w:r>
    </w:p>
    <w:p>
      <w:pPr>
        <w:pStyle w:val="Heading1"/>
        <w:keepNext/>
        <w:spacing w:after="120" w:before="260"/>
      </w:pPr>
      <w:r>
        <w:rPr>
          <w:rFonts w:ascii="Calibri" w:cs="Calibri" w:eastAsia="Calibri" w:hAnsi="Calibri"/>
          <w:b/>
          <w:bCs/>
          <w:color w:val="14213D"/>
          <w:sz w:val="24"/>
          <w:szCs w:val="24"/>
        </w:rPr>
        <w:t xml:space="preserve">17.  Governing Law and Dispute Resolution</w:t>
      </w:r>
    </w:p>
    <w:p>
      <w:pPr>
        <w:spacing w:after="120" w:line="264"/>
        <w:ind w:left="720" w:hanging="720"/>
      </w:pPr>
      <w:r>
        <w:rPr>
          <w:rFonts w:ascii="Calibri" w:cs="Calibri" w:eastAsia="Calibri" w:hAnsi="Calibri"/>
          <w:b/>
          <w:bCs/>
          <w:sz w:val="21"/>
          <w:szCs w:val="21"/>
        </w:rPr>
        <w:t xml:space="preserve">17.1 </w:t>
      </w:r>
      <w:r>
        <w:rPr>
          <w:rFonts w:ascii="Calibri" w:cs="Calibri" w:eastAsia="Calibri" w:hAnsi="Calibri"/>
          <w:sz w:val="21"/>
          <w:szCs w:val="21"/>
        </w:rPr>
        <w:t xml:space="preserve">This Agreement is governed by the laws of the Islamic Republic of Pakistan, without regard to conflict-of-law rules.</w:t>
      </w:r>
    </w:p>
    <w:p>
      <w:pPr>
        <w:spacing w:after="120" w:line="264"/>
        <w:ind w:left="720" w:hanging="720"/>
      </w:pPr>
      <w:r>
        <w:rPr>
          <w:rFonts w:ascii="Calibri" w:cs="Calibri" w:eastAsia="Calibri" w:hAnsi="Calibri"/>
          <w:b/>
          <w:bCs/>
          <w:sz w:val="21"/>
          <w:szCs w:val="21"/>
        </w:rPr>
        <w:t xml:space="preserve">17.2 </w:t>
      </w:r>
      <w:r>
        <w:rPr>
          <w:rFonts w:ascii="Calibri" w:cs="Calibri" w:eastAsia="Calibri" w:hAnsi="Calibri"/>
          <w:sz w:val="21"/>
          <w:szCs w:val="21"/>
        </w:rPr>
        <w:t xml:space="preserve">The Parties will first attempt to resolve any dispute amicably through good-faith discussions between senior representatives within </w:t>
      </w:r>
      <w:r>
        <w:rPr>
          <w:rFonts w:ascii="Calibri" w:cs="Calibri" w:eastAsia="Calibri" w:hAnsi="Calibri"/>
          <w:b/>
          <w:bCs/>
          <w:color w:val="B54708"/>
          <w:sz w:val="21"/>
          <w:szCs w:val="21"/>
        </w:rPr>
        <w:t xml:space="preserve">[escalation period, e.g. 30]</w:t>
      </w:r>
      <w:r>
        <w:rPr>
          <w:rFonts w:ascii="Calibri" w:cs="Calibri" w:eastAsia="Calibri" w:hAnsi="Calibri"/>
          <w:sz w:val="21"/>
          <w:szCs w:val="21"/>
        </w:rPr>
        <w:t xml:space="preserve"> days.</w:t>
      </w:r>
    </w:p>
    <w:p>
      <w:pPr>
        <w:spacing w:after="120" w:line="264"/>
        <w:ind w:left="720" w:hanging="720"/>
      </w:pPr>
      <w:r>
        <w:rPr>
          <w:rFonts w:ascii="Calibri" w:cs="Calibri" w:eastAsia="Calibri" w:hAnsi="Calibri"/>
          <w:b/>
          <w:bCs/>
          <w:sz w:val="21"/>
          <w:szCs w:val="21"/>
        </w:rPr>
        <w:t xml:space="preserve">17.3 </w:t>
      </w:r>
      <w:r>
        <w:rPr>
          <w:rFonts w:ascii="Calibri" w:cs="Calibri" w:eastAsia="Calibri" w:hAnsi="Calibri"/>
          <w:sz w:val="21"/>
          <w:szCs w:val="21"/>
        </w:rPr>
        <w:t xml:space="preserve">If not resolved, the dispute will be finally settled by arbitration under the Arbitration Act, 1940 (or its successor), seated in </w:t>
      </w:r>
      <w:r>
        <w:rPr>
          <w:rFonts w:ascii="Calibri" w:cs="Calibri" w:eastAsia="Calibri" w:hAnsi="Calibri"/>
          <w:b/>
          <w:bCs/>
          <w:color w:val="B54708"/>
          <w:sz w:val="21"/>
          <w:szCs w:val="21"/>
        </w:rPr>
        <w:t xml:space="preserve">[seat city, e.g. Karachi / Lahore / Islamabad]</w:t>
      </w:r>
      <w:r>
        <w:rPr>
          <w:rFonts w:ascii="Calibri" w:cs="Calibri" w:eastAsia="Calibri" w:hAnsi="Calibri"/>
          <w:sz w:val="21"/>
          <w:szCs w:val="21"/>
        </w:rPr>
        <w:t xml:space="preserve">, Pakistan, conducted in English by a sole arbitrator agreed by the Parties. For international clients, the Parties may instead agree in the SOW to arbitration under the rules of a recognised international body.</w:t>
      </w:r>
    </w:p>
    <w:p>
      <w:pPr>
        <w:spacing w:after="120" w:line="264"/>
        <w:ind w:left="720" w:hanging="720"/>
      </w:pPr>
      <w:r>
        <w:rPr>
          <w:rFonts w:ascii="Calibri" w:cs="Calibri" w:eastAsia="Calibri" w:hAnsi="Calibri"/>
          <w:b/>
          <w:bCs/>
          <w:sz w:val="21"/>
          <w:szCs w:val="21"/>
        </w:rPr>
        <w:t xml:space="preserve">17.4 </w:t>
      </w:r>
      <w:r>
        <w:rPr>
          <w:rFonts w:ascii="Calibri" w:cs="Calibri" w:eastAsia="Calibri" w:hAnsi="Calibri"/>
          <w:sz w:val="21"/>
          <w:szCs w:val="21"/>
        </w:rPr>
        <w:t xml:space="preserve">Subject to the arbitration clause, the courts of </w:t>
      </w:r>
      <w:r>
        <w:rPr>
          <w:rFonts w:ascii="Calibri" w:cs="Calibri" w:eastAsia="Calibri" w:hAnsi="Calibri"/>
          <w:b/>
          <w:bCs/>
          <w:color w:val="B54708"/>
          <w:sz w:val="21"/>
          <w:szCs w:val="21"/>
        </w:rPr>
        <w:t xml:space="preserve">[governing city]</w:t>
      </w:r>
      <w:r>
        <w:rPr>
          <w:rFonts w:ascii="Calibri" w:cs="Calibri" w:eastAsia="Calibri" w:hAnsi="Calibri"/>
          <w:sz w:val="21"/>
          <w:szCs w:val="21"/>
        </w:rPr>
        <w:t xml:space="preserve">, Pakistan have exclusive jurisdiction. Either Party may seek urgent injunctive relief from a court of competent jurisdiction.</w:t>
      </w:r>
    </w:p>
    <w:p>
      <w:pPr>
        <w:pStyle w:val="Heading1"/>
        <w:keepNext/>
        <w:spacing w:after="120" w:before="260"/>
      </w:pPr>
      <w:r>
        <w:rPr>
          <w:rFonts w:ascii="Calibri" w:cs="Calibri" w:eastAsia="Calibri" w:hAnsi="Calibri"/>
          <w:b/>
          <w:bCs/>
          <w:color w:val="14213D"/>
          <w:sz w:val="24"/>
          <w:szCs w:val="24"/>
        </w:rPr>
        <w:t xml:space="preserve">18.  Notices</w:t>
      </w:r>
    </w:p>
    <w:p>
      <w:pPr>
        <w:spacing w:after="120" w:line="264"/>
        <w:ind w:left="720" w:hanging="720"/>
      </w:pPr>
      <w:r>
        <w:rPr>
          <w:rFonts w:ascii="Calibri" w:cs="Calibri" w:eastAsia="Calibri" w:hAnsi="Calibri"/>
          <w:b/>
          <w:bCs/>
          <w:sz w:val="21"/>
          <w:szCs w:val="21"/>
        </w:rPr>
        <w:t xml:space="preserve">18.1 </w:t>
      </w:r>
      <w:r>
        <w:rPr>
          <w:rFonts w:ascii="Calibri" w:cs="Calibri" w:eastAsia="Calibri" w:hAnsi="Calibri"/>
          <w:sz w:val="21"/>
          <w:szCs w:val="21"/>
        </w:rPr>
        <w:t xml:space="preserve">Notices must be in writing and sent to the address or email each Party designates. Orbit's notice contact is </w:t>
      </w:r>
      <w:r>
        <w:rPr>
          <w:rFonts w:ascii="Calibri" w:cs="Calibri" w:eastAsia="Calibri" w:hAnsi="Calibri"/>
          <w:b/>
          <w:bCs/>
          <w:color w:val="B54708"/>
          <w:sz w:val="21"/>
          <w:szCs w:val="21"/>
        </w:rPr>
        <w:t xml:space="preserve">[Orbit notice email]</w:t>
      </w:r>
      <w:r>
        <w:rPr>
          <w:rFonts w:ascii="Calibri" w:cs="Calibri" w:eastAsia="Calibri" w:hAnsi="Calibri"/>
          <w:sz w:val="21"/>
          <w:szCs w:val="21"/>
        </w:rPr>
        <w:t xml:space="preserve">. Notice is effective on delivery, or on the next business day if sent by email with confirmation of receipt.</w:t>
      </w:r>
    </w:p>
    <w:p>
      <w:pPr>
        <w:pStyle w:val="Heading1"/>
        <w:keepNext/>
        <w:spacing w:after="120" w:before="260"/>
      </w:pPr>
      <w:r>
        <w:rPr>
          <w:rFonts w:ascii="Calibri" w:cs="Calibri" w:eastAsia="Calibri" w:hAnsi="Calibri"/>
          <w:b/>
          <w:bCs/>
          <w:color w:val="14213D"/>
          <w:sz w:val="24"/>
          <w:szCs w:val="24"/>
        </w:rPr>
        <w:t xml:space="preserve">19.  General</w:t>
      </w:r>
    </w:p>
    <w:p>
      <w:pPr>
        <w:spacing w:after="120" w:line="264"/>
        <w:ind w:left="720" w:hanging="720"/>
      </w:pPr>
      <w:r>
        <w:rPr>
          <w:rFonts w:ascii="Calibri" w:cs="Calibri" w:eastAsia="Calibri" w:hAnsi="Calibri"/>
          <w:b/>
          <w:bCs/>
          <w:sz w:val="21"/>
          <w:szCs w:val="21"/>
        </w:rPr>
        <w:t xml:space="preserve">19.1 </w:t>
      </w:r>
      <w:r>
        <w:rPr>
          <w:rFonts w:ascii="Calibri" w:cs="Calibri" w:eastAsia="Calibri" w:hAnsi="Calibri"/>
          <w:sz w:val="21"/>
          <w:szCs w:val="21"/>
        </w:rPr>
        <w:t xml:space="preserve">Entire Agreement. This Agreement and its SOWs are the entire agreement between the Parties on their subject matter and supersede prior discussions and proposals.</w:t>
      </w:r>
    </w:p>
    <w:p>
      <w:pPr>
        <w:spacing w:after="120" w:line="264"/>
        <w:ind w:left="720" w:hanging="720"/>
      </w:pPr>
      <w:r>
        <w:rPr>
          <w:rFonts w:ascii="Calibri" w:cs="Calibri" w:eastAsia="Calibri" w:hAnsi="Calibri"/>
          <w:b/>
          <w:bCs/>
          <w:sz w:val="21"/>
          <w:szCs w:val="21"/>
        </w:rPr>
        <w:t xml:space="preserve">19.2 </w:t>
      </w:r>
      <w:r>
        <w:rPr>
          <w:rFonts w:ascii="Calibri" w:cs="Calibri" w:eastAsia="Calibri" w:hAnsi="Calibri"/>
          <w:sz w:val="21"/>
          <w:szCs w:val="21"/>
        </w:rPr>
        <w:t xml:space="preserve">Amendments. Any amendment must be in writing and signed by authorised representatives of both Parties.</w:t>
      </w:r>
    </w:p>
    <w:p>
      <w:pPr>
        <w:spacing w:after="120" w:line="264"/>
        <w:ind w:left="720" w:hanging="720"/>
      </w:pPr>
      <w:r>
        <w:rPr>
          <w:rFonts w:ascii="Calibri" w:cs="Calibri" w:eastAsia="Calibri" w:hAnsi="Calibri"/>
          <w:b/>
          <w:bCs/>
          <w:sz w:val="21"/>
          <w:szCs w:val="21"/>
        </w:rPr>
        <w:t xml:space="preserve">19.3 </w:t>
      </w:r>
      <w:r>
        <w:rPr>
          <w:rFonts w:ascii="Calibri" w:cs="Calibri" w:eastAsia="Calibri" w:hAnsi="Calibri"/>
          <w:sz w:val="21"/>
          <w:szCs w:val="21"/>
        </w:rPr>
        <w:t xml:space="preserve">Assignment. Neither Party may assign this Agreement without the other's prior written consent, except to a successor in a merger or sale of substantially all assets, on notice.</w:t>
      </w:r>
    </w:p>
    <w:p>
      <w:pPr>
        <w:spacing w:after="120" w:line="264"/>
        <w:ind w:left="720" w:hanging="720"/>
      </w:pPr>
      <w:r>
        <w:rPr>
          <w:rFonts w:ascii="Calibri" w:cs="Calibri" w:eastAsia="Calibri" w:hAnsi="Calibri"/>
          <w:b/>
          <w:bCs/>
          <w:sz w:val="21"/>
          <w:szCs w:val="21"/>
        </w:rPr>
        <w:t xml:space="preserve">19.4 </w:t>
      </w:r>
      <w:r>
        <w:rPr>
          <w:rFonts w:ascii="Calibri" w:cs="Calibri" w:eastAsia="Calibri" w:hAnsi="Calibri"/>
          <w:sz w:val="21"/>
          <w:szCs w:val="21"/>
        </w:rPr>
        <w:t xml:space="preserve">Severability. If any provision is held unenforceable, the remaining provisions continue in full force, and the unenforceable provision will be modified to the minimum extent necessary.</w:t>
      </w:r>
    </w:p>
    <w:p>
      <w:pPr>
        <w:spacing w:after="120" w:line="264"/>
        <w:ind w:left="720" w:hanging="720"/>
      </w:pPr>
      <w:r>
        <w:rPr>
          <w:rFonts w:ascii="Calibri" w:cs="Calibri" w:eastAsia="Calibri" w:hAnsi="Calibri"/>
          <w:b/>
          <w:bCs/>
          <w:sz w:val="21"/>
          <w:szCs w:val="21"/>
        </w:rPr>
        <w:t xml:space="preserve">19.5 </w:t>
      </w:r>
      <w:r>
        <w:rPr>
          <w:rFonts w:ascii="Calibri" w:cs="Calibri" w:eastAsia="Calibri" w:hAnsi="Calibri"/>
          <w:sz w:val="21"/>
          <w:szCs w:val="21"/>
        </w:rPr>
        <w:t xml:space="preserve">Waiver. A failure to enforce a right is not a waiver of that right.</w:t>
      </w:r>
    </w:p>
    <w:p>
      <w:pPr>
        <w:spacing w:after="120" w:line="264"/>
        <w:ind w:left="720" w:hanging="720"/>
      </w:pPr>
      <w:r>
        <w:rPr>
          <w:rFonts w:ascii="Calibri" w:cs="Calibri" w:eastAsia="Calibri" w:hAnsi="Calibri"/>
          <w:b/>
          <w:bCs/>
          <w:sz w:val="21"/>
          <w:szCs w:val="21"/>
        </w:rPr>
        <w:t xml:space="preserve">19.6 </w:t>
      </w:r>
      <w:r>
        <w:rPr>
          <w:rFonts w:ascii="Calibri" w:cs="Calibri" w:eastAsia="Calibri" w:hAnsi="Calibri"/>
          <w:sz w:val="21"/>
          <w:szCs w:val="21"/>
        </w:rPr>
        <w:t xml:space="preserve">Counterparts and e-signatures. This Agreement may be signed in counterparts and by electronic signature, each of which is an original and together one agreement.</w:t>
      </w:r>
    </w:p>
    <w:p>
      <w:pPr>
        <w:pStyle w:val="Heading1"/>
        <w:keepNext/>
        <w:spacing w:after="120" w:before="260"/>
      </w:pPr>
      <w:r>
        <w:rPr>
          <w:rFonts w:ascii="Calibri" w:cs="Calibri" w:eastAsia="Calibri" w:hAnsi="Calibri"/>
          <w:b/>
          <w:bCs/>
          <w:color w:val="14213D"/>
          <w:sz w:val="24"/>
          <w:szCs w:val="24"/>
        </w:rPr>
        <w:t xml:space="preserve">20.  Signatures</w:t>
      </w:r>
    </w:p>
    <w:p>
      <w:pPr>
        <w:spacing w:after="140" w:line="264"/>
      </w:pPr>
      <w:r>
        <w:rPr>
          <w:rFonts w:ascii="Calibri" w:cs="Calibri" w:eastAsia="Calibri" w:hAnsi="Calibri"/>
          <w:sz w:val="21"/>
          <w:szCs w:val="21"/>
        </w:rPr>
        <w:t xml:space="preserve">By signing below, each Party agrees to be bound by this Agreement as of the Effective Date.</w:t>
      </w:r>
    </w:p>
    <w:p>
      <w:pPr>
        <w:spacing w:after="120"/>
      </w:pPr>
      <w:r>
        <w:rPr>
          <w:rFonts w:ascii="Calibri" w:cs="Calibri" w:eastAsia="Calibri" w:hAnsi="Calibri"/>
          <w:sz w:val="21"/>
          <w:szCs w:val="21"/>
        </w:rPr>
        <w:t xml:space="preserve"/>
      </w:r>
    </w:p>
    <w:tbl>
      <w:tblPr>
        <w:tblW w:type="dxa" w:w="8800"/>
        <w:tblBorders>
          <w:top w:val="none" w:color="FFFFFF" w:sz="0"/>
          <w:left w:val="none" w:color="FFFFFF" w:sz="0"/>
          <w:bottom w:val="none" w:color="FFFFFF" w:sz="0"/>
          <w:right w:val="none" w:color="FFFFFF" w:sz="0"/>
          <w:insideH w:val="none" w:color="FFFFFF" w:sz="0"/>
          <w:insideV w:val="none" w:color="FFFFFF" w:sz="0"/>
        </w:tblBorders>
      </w:tblPr>
      <w:tblGrid>
        <w:gridCol w:w="4400"/>
        <w:gridCol w:w="4400"/>
      </w:tblGrid>
      <w:tr>
        <w:tc>
          <w:tcPr>
            <w:tcW w:type="dxa" w:w="4400"/>
            <w:tcBorders>
              <w:top w:val="none" w:color="FFFFFF" w:sz="0"/>
              <w:left w:val="none" w:color="FFFFFF" w:sz="0"/>
              <w:bottom w:val="none" w:color="FFFFFF" w:sz="0"/>
              <w:right w:val="none" w:color="FFFFFF" w:sz="0"/>
            </w:tcBorders>
            <w:tcMar>
              <w:right w:type="dxa" w:w="300"/>
            </w:tcMar>
          </w:tcPr>
          <w:p>
            <w:pPr>
              <w:spacing w:after="200"/>
            </w:pPr>
            <w:r>
              <w:rPr>
                <w:rFonts w:ascii="Calibri" w:cs="Calibri" w:eastAsia="Calibri" w:hAnsi="Calibri"/>
                <w:b/>
                <w:bCs/>
                <w:caps/>
                <w:color w:val="14213D"/>
                <w:spacing w:val="20"/>
                <w:sz w:val="19"/>
                <w:szCs w:val="19"/>
              </w:rPr>
              <w:t xml:space="preserve">For Orbit</w:t>
            </w:r>
          </w:p>
          <w:p>
            <w:pPr>
              <w:pBdr>
                <w:bottom w:val="single" w:color="9AA4B2" w:sz="6" w:space="2"/>
              </w:pBdr>
              <w:spacing w:after="2" w:before="260"/>
            </w:pPr>
            <w:r>
              <w:rPr>
                <w:rFonts w:ascii="Calibri" w:cs="Calibri" w:eastAsia="Calibri" w:hAnsi="Calibri"/>
                <w:sz w:val="21"/>
                <w:szCs w:val="21"/>
              </w:rPr>
              <w:t xml:space="preserve"/>
            </w:r>
          </w:p>
          <w:p>
            <w:pPr>
              <w:spacing w:after="60"/>
            </w:pPr>
            <w:r>
              <w:rPr>
                <w:rFonts w:ascii="Calibri" w:cs="Calibri" w:eastAsia="Calibri" w:hAnsi="Calibri"/>
                <w:color w:val="5B6472"/>
                <w:sz w:val="17"/>
                <w:szCs w:val="17"/>
              </w:rPr>
              <w:t xml:space="preserve">Signature</w:t>
            </w:r>
          </w:p>
          <w:p>
            <w:pPr>
              <w:pBdr>
                <w:bottom w:val="single" w:color="9AA4B2" w:sz="6" w:space="2"/>
              </w:pBdr>
              <w:spacing w:after="2" w:before="260"/>
            </w:pPr>
            <w:r>
              <w:rPr>
                <w:rFonts w:ascii="Calibri" w:cs="Calibri" w:eastAsia="Calibri" w:hAnsi="Calibri"/>
                <w:sz w:val="21"/>
                <w:szCs w:val="21"/>
              </w:rPr>
              <w:t xml:space="preserve"/>
            </w:r>
          </w:p>
          <w:p>
            <w:pPr>
              <w:spacing w:after="60"/>
            </w:pPr>
            <w:r>
              <w:rPr>
                <w:rFonts w:ascii="Calibri" w:cs="Calibri" w:eastAsia="Calibri" w:hAnsi="Calibri"/>
                <w:color w:val="5B6472"/>
                <w:sz w:val="17"/>
                <w:szCs w:val="17"/>
              </w:rPr>
              <w:t xml:space="preserve">Name</w:t>
            </w:r>
          </w:p>
          <w:p>
            <w:pPr>
              <w:pBdr>
                <w:bottom w:val="single" w:color="9AA4B2" w:sz="6" w:space="2"/>
              </w:pBdr>
              <w:spacing w:after="2" w:before="260"/>
            </w:pPr>
            <w:r>
              <w:rPr>
                <w:rFonts w:ascii="Calibri" w:cs="Calibri" w:eastAsia="Calibri" w:hAnsi="Calibri"/>
                <w:sz w:val="21"/>
                <w:szCs w:val="21"/>
              </w:rPr>
              <w:t xml:space="preserve"/>
            </w:r>
          </w:p>
          <w:p>
            <w:pPr>
              <w:spacing w:after="60"/>
            </w:pPr>
            <w:r>
              <w:rPr>
                <w:rFonts w:ascii="Calibri" w:cs="Calibri" w:eastAsia="Calibri" w:hAnsi="Calibri"/>
                <w:color w:val="5B6472"/>
                <w:sz w:val="17"/>
                <w:szCs w:val="17"/>
              </w:rPr>
              <w:t xml:space="preserve">Title</w:t>
            </w:r>
          </w:p>
          <w:p>
            <w:pPr>
              <w:pBdr>
                <w:bottom w:val="single" w:color="9AA4B2" w:sz="6" w:space="2"/>
              </w:pBdr>
              <w:spacing w:after="2" w:before="260"/>
            </w:pPr>
            <w:r>
              <w:rPr>
                <w:rFonts w:ascii="Calibri" w:cs="Calibri" w:eastAsia="Calibri" w:hAnsi="Calibri"/>
                <w:sz w:val="21"/>
                <w:szCs w:val="21"/>
              </w:rPr>
              <w:t xml:space="preserve"/>
            </w:r>
          </w:p>
          <w:p>
            <w:pPr>
              <w:spacing w:after="60"/>
            </w:pPr>
            <w:r>
              <w:rPr>
                <w:rFonts w:ascii="Calibri" w:cs="Calibri" w:eastAsia="Calibri" w:hAnsi="Calibri"/>
                <w:color w:val="5B6472"/>
                <w:sz w:val="17"/>
                <w:szCs w:val="17"/>
              </w:rPr>
              <w:t xml:space="preserve">Date</w:t>
            </w:r>
          </w:p>
        </w:tc>
        <w:tc>
          <w:tcPr>
            <w:tcW w:type="dxa" w:w="4400"/>
            <w:tcBorders>
              <w:top w:val="none" w:color="FFFFFF" w:sz="0"/>
              <w:left w:val="none" w:color="FFFFFF" w:sz="0"/>
              <w:bottom w:val="none" w:color="FFFFFF" w:sz="0"/>
              <w:right w:val="none" w:color="FFFFFF" w:sz="0"/>
            </w:tcBorders>
            <w:tcMar>
              <w:left w:type="dxa" w:w="300"/>
            </w:tcMar>
          </w:tcPr>
          <w:p>
            <w:pPr>
              <w:spacing w:after="200"/>
            </w:pPr>
            <w:r>
              <w:rPr>
                <w:rFonts w:ascii="Calibri" w:cs="Calibri" w:eastAsia="Calibri" w:hAnsi="Calibri"/>
                <w:b/>
                <w:bCs/>
                <w:caps/>
                <w:color w:val="14213D"/>
                <w:spacing w:val="20"/>
                <w:sz w:val="19"/>
                <w:szCs w:val="19"/>
              </w:rPr>
              <w:t xml:space="preserve">For the Client</w:t>
            </w:r>
          </w:p>
          <w:p>
            <w:pPr>
              <w:pBdr>
                <w:bottom w:val="single" w:color="9AA4B2" w:sz="6" w:space="2"/>
              </w:pBdr>
              <w:spacing w:after="2" w:before="260"/>
            </w:pPr>
            <w:r>
              <w:rPr>
                <w:rFonts w:ascii="Calibri" w:cs="Calibri" w:eastAsia="Calibri" w:hAnsi="Calibri"/>
                <w:sz w:val="21"/>
                <w:szCs w:val="21"/>
              </w:rPr>
              <w:t xml:space="preserve"/>
            </w:r>
          </w:p>
          <w:p>
            <w:pPr>
              <w:spacing w:after="60"/>
            </w:pPr>
            <w:r>
              <w:rPr>
                <w:rFonts w:ascii="Calibri" w:cs="Calibri" w:eastAsia="Calibri" w:hAnsi="Calibri"/>
                <w:color w:val="5B6472"/>
                <w:sz w:val="17"/>
                <w:szCs w:val="17"/>
              </w:rPr>
              <w:t xml:space="preserve">Signature</w:t>
            </w:r>
          </w:p>
          <w:p>
            <w:pPr>
              <w:pBdr>
                <w:bottom w:val="single" w:color="9AA4B2" w:sz="6" w:space="2"/>
              </w:pBdr>
              <w:spacing w:after="2" w:before="260"/>
            </w:pPr>
            <w:r>
              <w:rPr>
                <w:rFonts w:ascii="Calibri" w:cs="Calibri" w:eastAsia="Calibri" w:hAnsi="Calibri"/>
                <w:sz w:val="21"/>
                <w:szCs w:val="21"/>
              </w:rPr>
              <w:t xml:space="preserve"/>
            </w:r>
          </w:p>
          <w:p>
            <w:pPr>
              <w:spacing w:after="60"/>
            </w:pPr>
            <w:r>
              <w:rPr>
                <w:rFonts w:ascii="Calibri" w:cs="Calibri" w:eastAsia="Calibri" w:hAnsi="Calibri"/>
                <w:color w:val="5B6472"/>
                <w:sz w:val="17"/>
                <w:szCs w:val="17"/>
              </w:rPr>
              <w:t xml:space="preserve">Name</w:t>
            </w:r>
          </w:p>
          <w:p>
            <w:pPr>
              <w:pBdr>
                <w:bottom w:val="single" w:color="9AA4B2" w:sz="6" w:space="2"/>
              </w:pBdr>
              <w:spacing w:after="2" w:before="260"/>
            </w:pPr>
            <w:r>
              <w:rPr>
                <w:rFonts w:ascii="Calibri" w:cs="Calibri" w:eastAsia="Calibri" w:hAnsi="Calibri"/>
                <w:sz w:val="21"/>
                <w:szCs w:val="21"/>
              </w:rPr>
              <w:t xml:space="preserve"/>
            </w:r>
          </w:p>
          <w:p>
            <w:pPr>
              <w:spacing w:after="60"/>
            </w:pPr>
            <w:r>
              <w:rPr>
                <w:rFonts w:ascii="Calibri" w:cs="Calibri" w:eastAsia="Calibri" w:hAnsi="Calibri"/>
                <w:color w:val="5B6472"/>
                <w:sz w:val="17"/>
                <w:szCs w:val="17"/>
              </w:rPr>
              <w:t xml:space="preserve">Title</w:t>
            </w:r>
          </w:p>
          <w:p>
            <w:pPr>
              <w:pBdr>
                <w:bottom w:val="single" w:color="9AA4B2" w:sz="6" w:space="2"/>
              </w:pBdr>
              <w:spacing w:after="2" w:before="260"/>
            </w:pPr>
            <w:r>
              <w:rPr>
                <w:rFonts w:ascii="Calibri" w:cs="Calibri" w:eastAsia="Calibri" w:hAnsi="Calibri"/>
                <w:sz w:val="21"/>
                <w:szCs w:val="21"/>
              </w:rPr>
              <w:t xml:space="preserve"/>
            </w:r>
          </w:p>
          <w:p>
            <w:pPr>
              <w:spacing w:after="60"/>
            </w:pPr>
            <w:r>
              <w:rPr>
                <w:rFonts w:ascii="Calibri" w:cs="Calibri" w:eastAsia="Calibri" w:hAnsi="Calibri"/>
                <w:color w:val="5B6472"/>
                <w:sz w:val="17"/>
                <w:szCs w:val="17"/>
              </w:rPr>
              <w:t xml:space="preserve">Date</w:t>
            </w:r>
          </w:p>
        </w:tc>
      </w:tr>
    </w:tbl>
    <w:p>
      <w:r>
        <w:br w:type="page"/>
      </w:r>
    </w:p>
    <w:p>
      <w:pPr>
        <w:spacing w:after="60"/>
      </w:pPr>
      <w:r>
        <w:rPr>
          <w:rFonts w:ascii="Calibri" w:cs="Calibri" w:eastAsia="Calibri" w:hAnsi="Calibri"/>
          <w:b/>
          <w:bCs/>
          <w:color w:val="2563EB"/>
          <w:spacing w:val="40"/>
          <w:sz w:val="20"/>
          <w:szCs w:val="20"/>
        </w:rPr>
        <w:t xml:space="preserve">EXHIBIT A</w:t>
      </w:r>
    </w:p>
    <w:p>
      <w:pPr>
        <w:pBdr>
          <w:bottom w:val="single" w:color="2563EB" w:sz="16" w:space="6"/>
        </w:pBdr>
        <w:spacing w:after="160"/>
      </w:pPr>
      <w:r>
        <w:rPr>
          <w:rFonts w:ascii="Calibri" w:cs="Calibri" w:eastAsia="Calibri" w:hAnsi="Calibri"/>
          <w:b/>
          <w:bCs/>
          <w:color w:val="14213D"/>
          <w:sz w:val="34"/>
          <w:szCs w:val="34"/>
        </w:rPr>
        <w:t xml:space="preserve">Statement of Work (Template)</w:t>
      </w:r>
    </w:p>
    <w:p>
      <w:pPr>
        <w:spacing w:after="140" w:line="264"/>
      </w:pPr>
      <w:r>
        <w:rPr>
          <w:rFonts w:ascii="Calibri" w:cs="Calibri" w:eastAsia="Calibri" w:hAnsi="Calibri"/>
          <w:sz w:val="21"/>
          <w:szCs w:val="21"/>
        </w:rPr>
        <w:t xml:space="preserve">This Statement of Work is entered into under, and incorporates, the Master Services Agreement between </w:t>
      </w:r>
      <w:r>
        <w:rPr>
          <w:rFonts w:ascii="Calibri" w:cs="Calibri" w:eastAsia="Calibri" w:hAnsi="Calibri"/>
          <w:b/>
          <w:bCs/>
          <w:color w:val="B54708"/>
          <w:sz w:val="21"/>
          <w:szCs w:val="21"/>
        </w:rPr>
        <w:t xml:space="preserve">[Orbit legal name]</w:t>
      </w:r>
      <w:r>
        <w:rPr>
          <w:rFonts w:ascii="Calibri" w:cs="Calibri" w:eastAsia="Calibri" w:hAnsi="Calibri"/>
          <w:sz w:val="21"/>
          <w:szCs w:val="21"/>
        </w:rPr>
        <w:t xml:space="preserve"> and </w:t>
      </w:r>
      <w:r>
        <w:rPr>
          <w:rFonts w:ascii="Calibri" w:cs="Calibri" w:eastAsia="Calibri" w:hAnsi="Calibri"/>
          <w:b/>
          <w:bCs/>
          <w:color w:val="B54708"/>
          <w:sz w:val="21"/>
          <w:szCs w:val="21"/>
        </w:rPr>
        <w:t xml:space="preserve">[Client legal name]</w:t>
      </w:r>
      <w:r>
        <w:rPr>
          <w:rFonts w:ascii="Calibri" w:cs="Calibri" w:eastAsia="Calibri" w:hAnsi="Calibri"/>
          <w:sz w:val="21"/>
          <w:szCs w:val="21"/>
        </w:rPr>
        <w:t xml:space="preserve"> dated </w:t>
      </w:r>
      <w:r>
        <w:rPr>
          <w:rFonts w:ascii="Calibri" w:cs="Calibri" w:eastAsia="Calibri" w:hAnsi="Calibri"/>
          <w:b/>
          <w:bCs/>
          <w:color w:val="B54708"/>
          <w:sz w:val="21"/>
          <w:szCs w:val="21"/>
        </w:rPr>
        <w:t xml:space="preserve">[effective date]</w:t>
      </w:r>
      <w:r>
        <w:rPr>
          <w:rFonts w:ascii="Calibri" w:cs="Calibri" w:eastAsia="Calibri" w:hAnsi="Calibri"/>
          <w:sz w:val="21"/>
          <w:szCs w:val="21"/>
        </w:rPr>
        <w:t xml:space="preserve">. Complete one SOW per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c>
          <w:tcPr>
            <w:tcW w:type="dxa" w:w="2900"/>
            <w:tcBorders>
              <w:top w:val="single" w:color="E1E6F0" w:sz="4"/>
              <w:left w:val="single" w:color="E1E6F0" w:sz="4"/>
              <w:bottom w:val="single" w:color="E1E6F0" w:sz="4"/>
              <w:right w:val="single" w:color="E1E6F0" w:sz="4"/>
            </w:tcBorders>
            <w:shd w:fill="F6F8FC" w:val="clear"/>
            <w:tcMar>
              <w:top w:type="dxa" w:w="80"/>
              <w:left w:type="dxa" w:w="120"/>
              <w:bottom w:type="dxa" w:w="80"/>
              <w:right w:type="dxa" w:w="120"/>
            </w:tcMar>
          </w:tcPr>
          <w:p>
            <w:r>
              <w:rPr>
                <w:rFonts w:ascii="Calibri" w:cs="Calibri" w:eastAsia="Calibri" w:hAnsi="Calibri"/>
                <w:b/>
                <w:bCs/>
                <w:color w:val="14213D"/>
                <w:sz w:val="19"/>
                <w:szCs w:val="19"/>
              </w:rPr>
              <w:t xml:space="preserve">SOW number / title</w:t>
            </w:r>
          </w:p>
        </w:tc>
        <w:tc>
          <w:tcPr>
            <w:tcW w:type="dxa" w:w="6100"/>
            <w:tcBorders>
              <w:top w:val="single" w:color="E1E6F0" w:sz="4"/>
              <w:left w:val="single" w:color="E1E6F0" w:sz="4"/>
              <w:bottom w:val="single" w:color="E1E6F0" w:sz="4"/>
              <w:right w:val="single" w:color="E1E6F0" w:sz="4"/>
            </w:tcBorders>
            <w:tcMar>
              <w:top w:type="dxa" w:w="80"/>
              <w:left w:type="dxa" w:w="120"/>
              <w:bottom w:type="dxa" w:w="80"/>
              <w:right w:type="dxa" w:w="120"/>
            </w:tcMar>
          </w:tcPr>
          <w:p>
            <w:r>
              <w:rPr>
                <w:rFonts w:ascii="Calibri" w:cs="Calibri" w:eastAsia="Calibri" w:hAnsi="Calibri"/>
                <w:b/>
                <w:bCs/>
                <w:color w:val="B54708"/>
                <w:sz w:val="21"/>
                <w:szCs w:val="21"/>
              </w:rPr>
              <w:t xml:space="preserve">[e.g. SOW-001 — Mobile App v1]</w:t>
            </w:r>
          </w:p>
        </w:tc>
      </w:tr>
      <w:tr>
        <w:tc>
          <w:tcPr>
            <w:tcW w:type="dxa" w:w="2900"/>
            <w:tcBorders>
              <w:top w:val="single" w:color="E1E6F0" w:sz="4"/>
              <w:left w:val="single" w:color="E1E6F0" w:sz="4"/>
              <w:bottom w:val="single" w:color="E1E6F0" w:sz="4"/>
              <w:right w:val="single" w:color="E1E6F0" w:sz="4"/>
            </w:tcBorders>
            <w:shd w:fill="F6F8FC" w:val="clear"/>
            <w:tcMar>
              <w:top w:type="dxa" w:w="80"/>
              <w:left w:type="dxa" w:w="120"/>
              <w:bottom w:type="dxa" w:w="80"/>
              <w:right w:type="dxa" w:w="120"/>
            </w:tcMar>
          </w:tcPr>
          <w:p>
            <w:r>
              <w:rPr>
                <w:rFonts w:ascii="Calibri" w:cs="Calibri" w:eastAsia="Calibri" w:hAnsi="Calibri"/>
                <w:b/>
                <w:bCs/>
                <w:color w:val="14213D"/>
                <w:sz w:val="19"/>
                <w:szCs w:val="19"/>
              </w:rPr>
              <w:t xml:space="preserve">SOW effective date</w:t>
            </w:r>
          </w:p>
        </w:tc>
        <w:tc>
          <w:tcPr>
            <w:tcW w:type="dxa" w:w="6100"/>
            <w:tcBorders>
              <w:top w:val="single" w:color="E1E6F0" w:sz="4"/>
              <w:left w:val="single" w:color="E1E6F0" w:sz="4"/>
              <w:bottom w:val="single" w:color="E1E6F0" w:sz="4"/>
              <w:right w:val="single" w:color="E1E6F0" w:sz="4"/>
            </w:tcBorders>
            <w:tcMar>
              <w:top w:type="dxa" w:w="80"/>
              <w:left w:type="dxa" w:w="120"/>
              <w:bottom w:type="dxa" w:w="80"/>
              <w:right w:type="dxa" w:w="120"/>
            </w:tcMar>
          </w:tcPr>
          <w:p>
            <w:r>
              <w:rPr>
                <w:rFonts w:ascii="Calibri" w:cs="Calibri" w:eastAsia="Calibri" w:hAnsi="Calibri"/>
                <w:b/>
                <w:bCs/>
                <w:color w:val="B54708"/>
                <w:sz w:val="21"/>
                <w:szCs w:val="21"/>
              </w:rPr>
              <w:t xml:space="preserve">[date]</w:t>
            </w:r>
          </w:p>
        </w:tc>
      </w:tr>
      <w:tr>
        <w:tc>
          <w:tcPr>
            <w:tcW w:type="dxa" w:w="2900"/>
            <w:tcBorders>
              <w:top w:val="single" w:color="E1E6F0" w:sz="4"/>
              <w:left w:val="single" w:color="E1E6F0" w:sz="4"/>
              <w:bottom w:val="single" w:color="E1E6F0" w:sz="4"/>
              <w:right w:val="single" w:color="E1E6F0" w:sz="4"/>
            </w:tcBorders>
            <w:shd w:fill="F6F8FC" w:val="clear"/>
            <w:tcMar>
              <w:top w:type="dxa" w:w="80"/>
              <w:left w:type="dxa" w:w="120"/>
              <w:bottom w:type="dxa" w:w="80"/>
              <w:right w:type="dxa" w:w="120"/>
            </w:tcMar>
          </w:tcPr>
          <w:p>
            <w:r>
              <w:rPr>
                <w:rFonts w:ascii="Calibri" w:cs="Calibri" w:eastAsia="Calibri" w:hAnsi="Calibri"/>
                <w:b/>
                <w:bCs/>
                <w:color w:val="14213D"/>
                <w:sz w:val="19"/>
                <w:szCs w:val="19"/>
              </w:rPr>
              <w:t xml:space="preserve">Project overview</w:t>
            </w:r>
          </w:p>
        </w:tc>
        <w:tc>
          <w:tcPr>
            <w:tcW w:type="dxa" w:w="6100"/>
            <w:tcBorders>
              <w:top w:val="single" w:color="E1E6F0" w:sz="4"/>
              <w:left w:val="single" w:color="E1E6F0" w:sz="4"/>
              <w:bottom w:val="single" w:color="E1E6F0" w:sz="4"/>
              <w:right w:val="single" w:color="E1E6F0" w:sz="4"/>
            </w:tcBorders>
            <w:tcMar>
              <w:top w:type="dxa" w:w="80"/>
              <w:left w:type="dxa" w:w="120"/>
              <w:bottom w:type="dxa" w:w="80"/>
              <w:right w:type="dxa" w:w="120"/>
            </w:tcMar>
          </w:tcPr>
          <w:p>
            <w:r>
              <w:rPr>
                <w:rFonts w:ascii="Calibri" w:cs="Calibri" w:eastAsia="Calibri" w:hAnsi="Calibri"/>
                <w:b/>
                <w:bCs/>
                <w:color w:val="B54708"/>
                <w:sz w:val="21"/>
                <w:szCs w:val="21"/>
              </w:rPr>
              <w:t xml:space="preserve">[one-paragraph description of the project]</w:t>
            </w:r>
          </w:p>
        </w:tc>
      </w:tr>
      <w:tr>
        <w:tc>
          <w:tcPr>
            <w:tcW w:type="dxa" w:w="2900"/>
            <w:tcBorders>
              <w:top w:val="single" w:color="E1E6F0" w:sz="4"/>
              <w:left w:val="single" w:color="E1E6F0" w:sz="4"/>
              <w:bottom w:val="single" w:color="E1E6F0" w:sz="4"/>
              <w:right w:val="single" w:color="E1E6F0" w:sz="4"/>
            </w:tcBorders>
            <w:shd w:fill="F6F8FC" w:val="clear"/>
            <w:tcMar>
              <w:top w:type="dxa" w:w="80"/>
              <w:left w:type="dxa" w:w="120"/>
              <w:bottom w:type="dxa" w:w="80"/>
              <w:right w:type="dxa" w:w="120"/>
            </w:tcMar>
          </w:tcPr>
          <w:p>
            <w:r>
              <w:rPr>
                <w:rFonts w:ascii="Calibri" w:cs="Calibri" w:eastAsia="Calibri" w:hAnsi="Calibri"/>
                <w:b/>
                <w:bCs/>
                <w:color w:val="14213D"/>
                <w:sz w:val="19"/>
                <w:szCs w:val="19"/>
              </w:rPr>
              <w:t xml:space="preserve">Scope of Services</w:t>
            </w:r>
          </w:p>
        </w:tc>
        <w:tc>
          <w:tcPr>
            <w:tcW w:type="dxa" w:w="6100"/>
            <w:tcBorders>
              <w:top w:val="single" w:color="E1E6F0" w:sz="4"/>
              <w:left w:val="single" w:color="E1E6F0" w:sz="4"/>
              <w:bottom w:val="single" w:color="E1E6F0" w:sz="4"/>
              <w:right w:val="single" w:color="E1E6F0" w:sz="4"/>
            </w:tcBorders>
            <w:tcMar>
              <w:top w:type="dxa" w:w="80"/>
              <w:left w:type="dxa" w:w="120"/>
              <w:bottom w:type="dxa" w:w="80"/>
              <w:right w:type="dxa" w:w="120"/>
            </w:tcMar>
          </w:tcPr>
          <w:p>
            <w:r>
              <w:rPr>
                <w:rFonts w:ascii="Calibri" w:cs="Calibri" w:eastAsia="Calibri" w:hAnsi="Calibri"/>
                <w:b/>
                <w:bCs/>
                <w:color w:val="B54708"/>
                <w:sz w:val="21"/>
                <w:szCs w:val="21"/>
              </w:rPr>
              <w:t xml:space="preserve">[detailed list of features / work to be performed]</w:t>
            </w:r>
          </w:p>
        </w:tc>
      </w:tr>
      <w:tr>
        <w:tc>
          <w:tcPr>
            <w:tcW w:type="dxa" w:w="2900"/>
            <w:tcBorders>
              <w:top w:val="single" w:color="E1E6F0" w:sz="4"/>
              <w:left w:val="single" w:color="E1E6F0" w:sz="4"/>
              <w:bottom w:val="single" w:color="E1E6F0" w:sz="4"/>
              <w:right w:val="single" w:color="E1E6F0" w:sz="4"/>
            </w:tcBorders>
            <w:shd w:fill="F6F8FC" w:val="clear"/>
            <w:tcMar>
              <w:top w:type="dxa" w:w="80"/>
              <w:left w:type="dxa" w:w="120"/>
              <w:bottom w:type="dxa" w:w="80"/>
              <w:right w:type="dxa" w:w="120"/>
            </w:tcMar>
          </w:tcPr>
          <w:p>
            <w:r>
              <w:rPr>
                <w:rFonts w:ascii="Calibri" w:cs="Calibri" w:eastAsia="Calibri" w:hAnsi="Calibri"/>
                <w:b/>
                <w:bCs/>
                <w:color w:val="14213D"/>
                <w:sz w:val="19"/>
                <w:szCs w:val="19"/>
              </w:rPr>
              <w:t xml:space="preserve">Out of scope</w:t>
            </w:r>
          </w:p>
        </w:tc>
        <w:tc>
          <w:tcPr>
            <w:tcW w:type="dxa" w:w="6100"/>
            <w:tcBorders>
              <w:top w:val="single" w:color="E1E6F0" w:sz="4"/>
              <w:left w:val="single" w:color="E1E6F0" w:sz="4"/>
              <w:bottom w:val="single" w:color="E1E6F0" w:sz="4"/>
              <w:right w:val="single" w:color="E1E6F0" w:sz="4"/>
            </w:tcBorders>
            <w:tcMar>
              <w:top w:type="dxa" w:w="80"/>
              <w:left w:type="dxa" w:w="120"/>
              <w:bottom w:type="dxa" w:w="80"/>
              <w:right w:type="dxa" w:w="120"/>
            </w:tcMar>
          </w:tcPr>
          <w:p>
            <w:r>
              <w:rPr>
                <w:rFonts w:ascii="Calibri" w:cs="Calibri" w:eastAsia="Calibri" w:hAnsi="Calibri"/>
                <w:b/>
                <w:bCs/>
                <w:color w:val="B54708"/>
                <w:sz w:val="21"/>
                <w:szCs w:val="21"/>
              </w:rPr>
              <w:t xml:space="preserve">[what is explicitly excluded]</w:t>
            </w:r>
          </w:p>
        </w:tc>
      </w:tr>
      <w:tr>
        <w:tc>
          <w:tcPr>
            <w:tcW w:type="dxa" w:w="2900"/>
            <w:tcBorders>
              <w:top w:val="single" w:color="E1E6F0" w:sz="4"/>
              <w:left w:val="single" w:color="E1E6F0" w:sz="4"/>
              <w:bottom w:val="single" w:color="E1E6F0" w:sz="4"/>
              <w:right w:val="single" w:color="E1E6F0" w:sz="4"/>
            </w:tcBorders>
            <w:shd w:fill="F6F8FC" w:val="clear"/>
            <w:tcMar>
              <w:top w:type="dxa" w:w="80"/>
              <w:left w:type="dxa" w:w="120"/>
              <w:bottom w:type="dxa" w:w="80"/>
              <w:right w:type="dxa" w:w="120"/>
            </w:tcMar>
          </w:tcPr>
          <w:p>
            <w:r>
              <w:rPr>
                <w:rFonts w:ascii="Calibri" w:cs="Calibri" w:eastAsia="Calibri" w:hAnsi="Calibri"/>
                <w:b/>
                <w:bCs/>
                <w:color w:val="14213D"/>
                <w:sz w:val="19"/>
                <w:szCs w:val="19"/>
              </w:rPr>
              <w:t xml:space="preserve">Deliverables</w:t>
            </w:r>
          </w:p>
        </w:tc>
        <w:tc>
          <w:tcPr>
            <w:tcW w:type="dxa" w:w="6100"/>
            <w:tcBorders>
              <w:top w:val="single" w:color="E1E6F0" w:sz="4"/>
              <w:left w:val="single" w:color="E1E6F0" w:sz="4"/>
              <w:bottom w:val="single" w:color="E1E6F0" w:sz="4"/>
              <w:right w:val="single" w:color="E1E6F0" w:sz="4"/>
            </w:tcBorders>
            <w:tcMar>
              <w:top w:type="dxa" w:w="80"/>
              <w:left w:type="dxa" w:w="120"/>
              <w:bottom w:type="dxa" w:w="80"/>
              <w:right w:type="dxa" w:w="120"/>
            </w:tcMar>
          </w:tcPr>
          <w:p>
            <w:r>
              <w:rPr>
                <w:rFonts w:ascii="Calibri" w:cs="Calibri" w:eastAsia="Calibri" w:hAnsi="Calibri"/>
                <w:b/>
                <w:bCs/>
                <w:color w:val="B54708"/>
                <w:sz w:val="21"/>
                <w:szCs w:val="21"/>
              </w:rPr>
              <w:t xml:space="preserve">[list of deliverables]</w:t>
            </w:r>
          </w:p>
        </w:tc>
      </w:tr>
      <w:tr>
        <w:tc>
          <w:tcPr>
            <w:tcW w:type="dxa" w:w="2900"/>
            <w:tcBorders>
              <w:top w:val="single" w:color="E1E6F0" w:sz="4"/>
              <w:left w:val="single" w:color="E1E6F0" w:sz="4"/>
              <w:bottom w:val="single" w:color="E1E6F0" w:sz="4"/>
              <w:right w:val="single" w:color="E1E6F0" w:sz="4"/>
            </w:tcBorders>
            <w:shd w:fill="F6F8FC" w:val="clear"/>
            <w:tcMar>
              <w:top w:type="dxa" w:w="80"/>
              <w:left w:type="dxa" w:w="120"/>
              <w:bottom w:type="dxa" w:w="80"/>
              <w:right w:type="dxa" w:w="120"/>
            </w:tcMar>
          </w:tcPr>
          <w:p>
            <w:r>
              <w:rPr>
                <w:rFonts w:ascii="Calibri" w:cs="Calibri" w:eastAsia="Calibri" w:hAnsi="Calibri"/>
                <w:b/>
                <w:bCs/>
                <w:color w:val="14213D"/>
                <w:sz w:val="19"/>
                <w:szCs w:val="19"/>
              </w:rPr>
              <w:t xml:space="preserve">Milestones &amp; timeline</w:t>
            </w:r>
          </w:p>
        </w:tc>
        <w:tc>
          <w:tcPr>
            <w:tcW w:type="dxa" w:w="6100"/>
            <w:tcBorders>
              <w:top w:val="single" w:color="E1E6F0" w:sz="4"/>
              <w:left w:val="single" w:color="E1E6F0" w:sz="4"/>
              <w:bottom w:val="single" w:color="E1E6F0" w:sz="4"/>
              <w:right w:val="single" w:color="E1E6F0" w:sz="4"/>
            </w:tcBorders>
            <w:tcMar>
              <w:top w:type="dxa" w:w="80"/>
              <w:left w:type="dxa" w:w="120"/>
              <w:bottom w:type="dxa" w:w="80"/>
              <w:right w:type="dxa" w:w="120"/>
            </w:tcMar>
          </w:tcPr>
          <w:p>
            <w:r>
              <w:rPr>
                <w:rFonts w:ascii="Calibri" w:cs="Calibri" w:eastAsia="Calibri" w:hAnsi="Calibri"/>
                <w:b/>
                <w:bCs/>
                <w:color w:val="B54708"/>
                <w:sz w:val="21"/>
                <w:szCs w:val="21"/>
              </w:rPr>
              <w:t xml:space="preserve">[milestone — target date — dependency]</w:t>
            </w:r>
          </w:p>
        </w:tc>
      </w:tr>
      <w:tr>
        <w:tc>
          <w:tcPr>
            <w:tcW w:type="dxa" w:w="2900"/>
            <w:tcBorders>
              <w:top w:val="single" w:color="E1E6F0" w:sz="4"/>
              <w:left w:val="single" w:color="E1E6F0" w:sz="4"/>
              <w:bottom w:val="single" w:color="E1E6F0" w:sz="4"/>
              <w:right w:val="single" w:color="E1E6F0" w:sz="4"/>
            </w:tcBorders>
            <w:shd w:fill="F6F8FC" w:val="clear"/>
            <w:tcMar>
              <w:top w:type="dxa" w:w="80"/>
              <w:left w:type="dxa" w:w="120"/>
              <w:bottom w:type="dxa" w:w="80"/>
              <w:right w:type="dxa" w:w="120"/>
            </w:tcMar>
          </w:tcPr>
          <w:p>
            <w:r>
              <w:rPr>
                <w:rFonts w:ascii="Calibri" w:cs="Calibri" w:eastAsia="Calibri" w:hAnsi="Calibri"/>
                <w:b/>
                <w:bCs/>
                <w:color w:val="14213D"/>
                <w:sz w:val="19"/>
                <w:szCs w:val="19"/>
              </w:rPr>
              <w:t xml:space="preserve">Engagement model</w:t>
            </w:r>
          </w:p>
        </w:tc>
        <w:tc>
          <w:tcPr>
            <w:tcW w:type="dxa" w:w="6100"/>
            <w:tcBorders>
              <w:top w:val="single" w:color="E1E6F0" w:sz="4"/>
              <w:left w:val="single" w:color="E1E6F0" w:sz="4"/>
              <w:bottom w:val="single" w:color="E1E6F0" w:sz="4"/>
              <w:right w:val="single" w:color="E1E6F0" w:sz="4"/>
            </w:tcBorders>
            <w:tcMar>
              <w:top w:type="dxa" w:w="80"/>
              <w:left w:type="dxa" w:w="120"/>
              <w:bottom w:type="dxa" w:w="80"/>
              <w:right w:type="dxa" w:w="120"/>
            </w:tcMar>
          </w:tcPr>
          <w:p>
            <w:r>
              <w:rPr>
                <w:rFonts w:ascii="Calibri" w:cs="Calibri" w:eastAsia="Calibri" w:hAnsi="Calibri"/>
                <w:b/>
                <w:bCs/>
                <w:color w:val="B54708"/>
                <w:sz w:val="21"/>
                <w:szCs w:val="21"/>
              </w:rPr>
              <w:t xml:space="preserve">[fixed-price / time &amp; materials / dedicated team]</w:t>
            </w:r>
          </w:p>
        </w:tc>
      </w:tr>
      <w:tr>
        <w:tc>
          <w:tcPr>
            <w:tcW w:type="dxa" w:w="2900"/>
            <w:tcBorders>
              <w:top w:val="single" w:color="E1E6F0" w:sz="4"/>
              <w:left w:val="single" w:color="E1E6F0" w:sz="4"/>
              <w:bottom w:val="single" w:color="E1E6F0" w:sz="4"/>
              <w:right w:val="single" w:color="E1E6F0" w:sz="4"/>
            </w:tcBorders>
            <w:shd w:fill="F6F8FC" w:val="clear"/>
            <w:tcMar>
              <w:top w:type="dxa" w:w="80"/>
              <w:left w:type="dxa" w:w="120"/>
              <w:bottom w:type="dxa" w:w="80"/>
              <w:right w:type="dxa" w:w="120"/>
            </w:tcMar>
          </w:tcPr>
          <w:p>
            <w:r>
              <w:rPr>
                <w:rFonts w:ascii="Calibri" w:cs="Calibri" w:eastAsia="Calibri" w:hAnsi="Calibri"/>
                <w:b/>
                <w:bCs/>
                <w:color w:val="14213D"/>
                <w:sz w:val="19"/>
                <w:szCs w:val="19"/>
              </w:rPr>
              <w:t xml:space="preserve">Fees</w:t>
            </w:r>
          </w:p>
        </w:tc>
        <w:tc>
          <w:tcPr>
            <w:tcW w:type="dxa" w:w="6100"/>
            <w:tcBorders>
              <w:top w:val="single" w:color="E1E6F0" w:sz="4"/>
              <w:left w:val="single" w:color="E1E6F0" w:sz="4"/>
              <w:bottom w:val="single" w:color="E1E6F0" w:sz="4"/>
              <w:right w:val="single" w:color="E1E6F0" w:sz="4"/>
            </w:tcBorders>
            <w:tcMar>
              <w:top w:type="dxa" w:w="80"/>
              <w:left w:type="dxa" w:w="120"/>
              <w:bottom w:type="dxa" w:w="80"/>
              <w:right w:type="dxa" w:w="120"/>
            </w:tcMar>
          </w:tcPr>
          <w:p>
            <w:r>
              <w:rPr>
                <w:rFonts w:ascii="Calibri" w:cs="Calibri" w:eastAsia="Calibri" w:hAnsi="Calibri"/>
                <w:b/>
                <w:bCs/>
                <w:color w:val="B54708"/>
                <w:sz w:val="21"/>
                <w:szCs w:val="21"/>
              </w:rPr>
              <w:t xml:space="preserve">[amount and currency, and how calculated]</w:t>
            </w:r>
          </w:p>
        </w:tc>
      </w:tr>
      <w:tr>
        <w:tc>
          <w:tcPr>
            <w:tcW w:type="dxa" w:w="2900"/>
            <w:tcBorders>
              <w:top w:val="single" w:color="E1E6F0" w:sz="4"/>
              <w:left w:val="single" w:color="E1E6F0" w:sz="4"/>
              <w:bottom w:val="single" w:color="E1E6F0" w:sz="4"/>
              <w:right w:val="single" w:color="E1E6F0" w:sz="4"/>
            </w:tcBorders>
            <w:shd w:fill="F6F8FC" w:val="clear"/>
            <w:tcMar>
              <w:top w:type="dxa" w:w="80"/>
              <w:left w:type="dxa" w:w="120"/>
              <w:bottom w:type="dxa" w:w="80"/>
              <w:right w:type="dxa" w:w="120"/>
            </w:tcMar>
          </w:tcPr>
          <w:p>
            <w:r>
              <w:rPr>
                <w:rFonts w:ascii="Calibri" w:cs="Calibri" w:eastAsia="Calibri" w:hAnsi="Calibri"/>
                <w:b/>
                <w:bCs/>
                <w:color w:val="14213D"/>
                <w:sz w:val="19"/>
                <w:szCs w:val="19"/>
              </w:rPr>
              <w:t xml:space="preserve">Payment schedule</w:t>
            </w:r>
          </w:p>
        </w:tc>
        <w:tc>
          <w:tcPr>
            <w:tcW w:type="dxa" w:w="6100"/>
            <w:tcBorders>
              <w:top w:val="single" w:color="E1E6F0" w:sz="4"/>
              <w:left w:val="single" w:color="E1E6F0" w:sz="4"/>
              <w:bottom w:val="single" w:color="E1E6F0" w:sz="4"/>
              <w:right w:val="single" w:color="E1E6F0" w:sz="4"/>
            </w:tcBorders>
            <w:tcMar>
              <w:top w:type="dxa" w:w="80"/>
              <w:left w:type="dxa" w:w="120"/>
              <w:bottom w:type="dxa" w:w="80"/>
              <w:right w:type="dxa" w:w="120"/>
            </w:tcMar>
          </w:tcPr>
          <w:p>
            <w:r>
              <w:rPr>
                <w:rFonts w:ascii="Calibri" w:cs="Calibri" w:eastAsia="Calibri" w:hAnsi="Calibri"/>
                <w:b/>
                <w:bCs/>
                <w:color w:val="B54708"/>
                <w:sz w:val="21"/>
                <w:szCs w:val="21"/>
              </w:rPr>
              <w:t xml:space="preserve">[e.g. 30% upfront, milestones, or monthly]</w:t>
            </w:r>
          </w:p>
        </w:tc>
      </w:tr>
      <w:tr>
        <w:tc>
          <w:tcPr>
            <w:tcW w:type="dxa" w:w="2900"/>
            <w:tcBorders>
              <w:top w:val="single" w:color="E1E6F0" w:sz="4"/>
              <w:left w:val="single" w:color="E1E6F0" w:sz="4"/>
              <w:bottom w:val="single" w:color="E1E6F0" w:sz="4"/>
              <w:right w:val="single" w:color="E1E6F0" w:sz="4"/>
            </w:tcBorders>
            <w:shd w:fill="F6F8FC" w:val="clear"/>
            <w:tcMar>
              <w:top w:type="dxa" w:w="80"/>
              <w:left w:type="dxa" w:w="120"/>
              <w:bottom w:type="dxa" w:w="80"/>
              <w:right w:type="dxa" w:w="120"/>
            </w:tcMar>
          </w:tcPr>
          <w:p>
            <w:r>
              <w:rPr>
                <w:rFonts w:ascii="Calibri" w:cs="Calibri" w:eastAsia="Calibri" w:hAnsi="Calibri"/>
                <w:b/>
                <w:bCs/>
                <w:color w:val="14213D"/>
                <w:sz w:val="19"/>
                <w:szCs w:val="19"/>
              </w:rPr>
              <w:t xml:space="preserve">Acceptance Criteria</w:t>
            </w:r>
          </w:p>
        </w:tc>
        <w:tc>
          <w:tcPr>
            <w:tcW w:type="dxa" w:w="6100"/>
            <w:tcBorders>
              <w:top w:val="single" w:color="E1E6F0" w:sz="4"/>
              <w:left w:val="single" w:color="E1E6F0" w:sz="4"/>
              <w:bottom w:val="single" w:color="E1E6F0" w:sz="4"/>
              <w:right w:val="single" w:color="E1E6F0" w:sz="4"/>
            </w:tcBorders>
            <w:tcMar>
              <w:top w:type="dxa" w:w="80"/>
              <w:left w:type="dxa" w:w="120"/>
              <w:bottom w:type="dxa" w:w="80"/>
              <w:right w:type="dxa" w:w="120"/>
            </w:tcMar>
          </w:tcPr>
          <w:p>
            <w:r>
              <w:rPr>
                <w:rFonts w:ascii="Calibri" w:cs="Calibri" w:eastAsia="Calibri" w:hAnsi="Calibri"/>
                <w:b/>
                <w:bCs/>
                <w:color w:val="B54708"/>
                <w:sz w:val="21"/>
                <w:szCs w:val="21"/>
              </w:rPr>
              <w:t xml:space="preserve">[objective, testable criteria per deliverable]</w:t>
            </w:r>
          </w:p>
        </w:tc>
      </w:tr>
      <w:tr>
        <w:tc>
          <w:tcPr>
            <w:tcW w:type="dxa" w:w="2900"/>
            <w:tcBorders>
              <w:top w:val="single" w:color="E1E6F0" w:sz="4"/>
              <w:left w:val="single" w:color="E1E6F0" w:sz="4"/>
              <w:bottom w:val="single" w:color="E1E6F0" w:sz="4"/>
              <w:right w:val="single" w:color="E1E6F0" w:sz="4"/>
            </w:tcBorders>
            <w:shd w:fill="F6F8FC" w:val="clear"/>
            <w:tcMar>
              <w:top w:type="dxa" w:w="80"/>
              <w:left w:type="dxa" w:w="120"/>
              <w:bottom w:type="dxa" w:w="80"/>
              <w:right w:type="dxa" w:w="120"/>
            </w:tcMar>
          </w:tcPr>
          <w:p>
            <w:r>
              <w:rPr>
                <w:rFonts w:ascii="Calibri" w:cs="Calibri" w:eastAsia="Calibri" w:hAnsi="Calibri"/>
                <w:b/>
                <w:bCs/>
                <w:color w:val="14213D"/>
                <w:sz w:val="19"/>
                <w:szCs w:val="19"/>
              </w:rPr>
              <w:t xml:space="preserve">Acceptance period</w:t>
            </w:r>
          </w:p>
        </w:tc>
        <w:tc>
          <w:tcPr>
            <w:tcW w:type="dxa" w:w="6100"/>
            <w:tcBorders>
              <w:top w:val="single" w:color="E1E6F0" w:sz="4"/>
              <w:left w:val="single" w:color="E1E6F0" w:sz="4"/>
              <w:bottom w:val="single" w:color="E1E6F0" w:sz="4"/>
              <w:right w:val="single" w:color="E1E6F0" w:sz="4"/>
            </w:tcBorders>
            <w:tcMar>
              <w:top w:type="dxa" w:w="80"/>
              <w:left w:type="dxa" w:w="120"/>
              <w:bottom w:type="dxa" w:w="80"/>
              <w:right w:type="dxa" w:w="120"/>
            </w:tcMar>
          </w:tcPr>
          <w:p>
            <w:r>
              <w:rPr>
                <w:rFonts w:ascii="Calibri" w:cs="Calibri" w:eastAsia="Calibri" w:hAnsi="Calibri"/>
                <w:b/>
                <w:bCs/>
                <w:color w:val="B54708"/>
                <w:sz w:val="21"/>
                <w:szCs w:val="21"/>
              </w:rPr>
              <w:t xml:space="preserve">[e.g. 7 business days]</w:t>
            </w:r>
          </w:p>
        </w:tc>
      </w:tr>
      <w:tr>
        <w:tc>
          <w:tcPr>
            <w:tcW w:type="dxa" w:w="2900"/>
            <w:tcBorders>
              <w:top w:val="single" w:color="E1E6F0" w:sz="4"/>
              <w:left w:val="single" w:color="E1E6F0" w:sz="4"/>
              <w:bottom w:val="single" w:color="E1E6F0" w:sz="4"/>
              <w:right w:val="single" w:color="E1E6F0" w:sz="4"/>
            </w:tcBorders>
            <w:shd w:fill="F6F8FC" w:val="clear"/>
            <w:tcMar>
              <w:top w:type="dxa" w:w="80"/>
              <w:left w:type="dxa" w:w="120"/>
              <w:bottom w:type="dxa" w:w="80"/>
              <w:right w:type="dxa" w:w="120"/>
            </w:tcMar>
          </w:tcPr>
          <w:p>
            <w:r>
              <w:rPr>
                <w:rFonts w:ascii="Calibri" w:cs="Calibri" w:eastAsia="Calibri" w:hAnsi="Calibri"/>
                <w:b/>
                <w:bCs/>
                <w:color w:val="14213D"/>
                <w:sz w:val="19"/>
                <w:szCs w:val="19"/>
              </w:rPr>
              <w:t xml:space="preserve">Client dependencies</w:t>
            </w:r>
          </w:p>
        </w:tc>
        <w:tc>
          <w:tcPr>
            <w:tcW w:type="dxa" w:w="6100"/>
            <w:tcBorders>
              <w:top w:val="single" w:color="E1E6F0" w:sz="4"/>
              <w:left w:val="single" w:color="E1E6F0" w:sz="4"/>
              <w:bottom w:val="single" w:color="E1E6F0" w:sz="4"/>
              <w:right w:val="single" w:color="E1E6F0" w:sz="4"/>
            </w:tcBorders>
            <w:tcMar>
              <w:top w:type="dxa" w:w="80"/>
              <w:left w:type="dxa" w:w="120"/>
              <w:bottom w:type="dxa" w:w="80"/>
              <w:right w:type="dxa" w:w="120"/>
            </w:tcMar>
          </w:tcPr>
          <w:p>
            <w:r>
              <w:rPr>
                <w:rFonts w:ascii="Calibri" w:cs="Calibri" w:eastAsia="Calibri" w:hAnsi="Calibri"/>
                <w:b/>
                <w:bCs/>
                <w:color w:val="B54708"/>
                <w:sz w:val="21"/>
                <w:szCs w:val="21"/>
              </w:rPr>
              <w:t xml:space="preserve">[access, content, approvals the Client must provide]</w:t>
            </w:r>
          </w:p>
        </w:tc>
      </w:tr>
      <w:tr>
        <w:tc>
          <w:tcPr>
            <w:tcW w:type="dxa" w:w="2900"/>
            <w:tcBorders>
              <w:top w:val="single" w:color="E1E6F0" w:sz="4"/>
              <w:left w:val="single" w:color="E1E6F0" w:sz="4"/>
              <w:bottom w:val="single" w:color="E1E6F0" w:sz="4"/>
              <w:right w:val="single" w:color="E1E6F0" w:sz="4"/>
            </w:tcBorders>
            <w:shd w:fill="F6F8FC" w:val="clear"/>
            <w:tcMar>
              <w:top w:type="dxa" w:w="80"/>
              <w:left w:type="dxa" w:w="120"/>
              <w:bottom w:type="dxa" w:w="80"/>
              <w:right w:type="dxa" w:w="120"/>
            </w:tcMar>
          </w:tcPr>
          <w:p>
            <w:r>
              <w:rPr>
                <w:rFonts w:ascii="Calibri" w:cs="Calibri" w:eastAsia="Calibri" w:hAnsi="Calibri"/>
                <w:b/>
                <w:bCs/>
                <w:color w:val="14213D"/>
                <w:sz w:val="19"/>
                <w:szCs w:val="19"/>
              </w:rPr>
              <w:t xml:space="preserve">Key contacts</w:t>
            </w:r>
          </w:p>
        </w:tc>
        <w:tc>
          <w:tcPr>
            <w:tcW w:type="dxa" w:w="6100"/>
            <w:tcBorders>
              <w:top w:val="single" w:color="E1E6F0" w:sz="4"/>
              <w:left w:val="single" w:color="E1E6F0" w:sz="4"/>
              <w:bottom w:val="single" w:color="E1E6F0" w:sz="4"/>
              <w:right w:val="single" w:color="E1E6F0" w:sz="4"/>
            </w:tcBorders>
            <w:tcMar>
              <w:top w:type="dxa" w:w="80"/>
              <w:left w:type="dxa" w:w="120"/>
              <w:bottom w:type="dxa" w:w="80"/>
              <w:right w:type="dxa" w:w="120"/>
            </w:tcMar>
          </w:tcPr>
          <w:p>
            <w:r>
              <w:rPr>
                <w:rFonts w:ascii="Calibri" w:cs="Calibri" w:eastAsia="Calibri" w:hAnsi="Calibri"/>
                <w:b/>
                <w:bCs/>
                <w:color w:val="B54708"/>
                <w:sz w:val="21"/>
                <w:szCs w:val="21"/>
              </w:rPr>
              <w:t xml:space="preserve">[Orbit lead and Client lead — name, email]</w:t>
            </w:r>
          </w:p>
        </w:tc>
      </w:tr>
      <w:tr>
        <w:tc>
          <w:tcPr>
            <w:tcW w:type="dxa" w:w="2900"/>
            <w:tcBorders>
              <w:top w:val="single" w:color="E1E6F0" w:sz="4"/>
              <w:left w:val="single" w:color="E1E6F0" w:sz="4"/>
              <w:bottom w:val="single" w:color="E1E6F0" w:sz="4"/>
              <w:right w:val="single" w:color="E1E6F0" w:sz="4"/>
            </w:tcBorders>
            <w:shd w:fill="F6F8FC" w:val="clear"/>
            <w:tcMar>
              <w:top w:type="dxa" w:w="80"/>
              <w:left w:type="dxa" w:w="120"/>
              <w:bottom w:type="dxa" w:w="80"/>
              <w:right w:type="dxa" w:w="120"/>
            </w:tcMar>
          </w:tcPr>
          <w:p>
            <w:r>
              <w:rPr>
                <w:rFonts w:ascii="Calibri" w:cs="Calibri" w:eastAsia="Calibri" w:hAnsi="Calibri"/>
                <w:b/>
                <w:bCs/>
                <w:color w:val="14213D"/>
                <w:sz w:val="19"/>
                <w:szCs w:val="19"/>
              </w:rPr>
              <w:t xml:space="preserve">Special terms</w:t>
            </w:r>
          </w:p>
        </w:tc>
        <w:tc>
          <w:tcPr>
            <w:tcW w:type="dxa" w:w="6100"/>
            <w:tcBorders>
              <w:top w:val="single" w:color="E1E6F0" w:sz="4"/>
              <w:left w:val="single" w:color="E1E6F0" w:sz="4"/>
              <w:bottom w:val="single" w:color="E1E6F0" w:sz="4"/>
              <w:right w:val="single" w:color="E1E6F0" w:sz="4"/>
            </w:tcBorders>
            <w:tcMar>
              <w:top w:type="dxa" w:w="80"/>
              <w:left w:type="dxa" w:w="120"/>
              <w:bottom w:type="dxa" w:w="80"/>
              <w:right w:type="dxa" w:w="120"/>
            </w:tcMar>
          </w:tcPr>
          <w:p>
            <w:r>
              <w:rPr>
                <w:rFonts w:ascii="Calibri" w:cs="Calibri" w:eastAsia="Calibri" w:hAnsi="Calibri"/>
                <w:b/>
                <w:bCs/>
                <w:color w:val="B54708"/>
                <w:sz w:val="21"/>
                <w:szCs w:val="21"/>
              </w:rPr>
              <w:t xml:space="preserve">[any terms that override the MSA for this project]</w:t>
            </w:r>
          </w:p>
        </w:tc>
      </w:tr>
    </w:tbl>
    <w:p>
      <w:pPr>
        <w:spacing w:after="120" w:before="260"/>
      </w:pPr>
      <w:r>
        <w:rPr>
          <w:rFonts w:ascii="Calibri" w:cs="Calibri" w:eastAsia="Calibri" w:hAnsi="Calibri"/>
          <w:sz w:val="21"/>
          <w:szCs w:val="21"/>
        </w:rPr>
        <w:t xml:space="preserve">Agreed and accepted:</w:t>
      </w:r>
    </w:p>
    <w:tbl>
      <w:tblPr>
        <w:tblW w:type="dxa" w:w="8800"/>
        <w:tblBorders>
          <w:top w:val="none" w:color="FFFFFF" w:sz="0"/>
          <w:left w:val="none" w:color="FFFFFF" w:sz="0"/>
          <w:bottom w:val="none" w:color="FFFFFF" w:sz="0"/>
          <w:right w:val="none" w:color="FFFFFF" w:sz="0"/>
          <w:insideH w:val="none" w:color="FFFFFF" w:sz="0"/>
          <w:insideV w:val="none" w:color="FFFFFF" w:sz="0"/>
        </w:tblBorders>
      </w:tblPr>
      <w:tblGrid>
        <w:gridCol w:w="4400"/>
        <w:gridCol w:w="4400"/>
      </w:tblGrid>
      <w:tr>
        <w:tc>
          <w:tcPr>
            <w:tcW w:type="dxa" w:w="4400"/>
            <w:tcBorders>
              <w:top w:val="none" w:color="FFFFFF" w:sz="0"/>
              <w:left w:val="none" w:color="FFFFFF" w:sz="0"/>
              <w:bottom w:val="none" w:color="FFFFFF" w:sz="0"/>
              <w:right w:val="none" w:color="FFFFFF" w:sz="0"/>
            </w:tcBorders>
            <w:tcMar>
              <w:right w:type="dxa" w:w="300"/>
            </w:tcMar>
          </w:tcPr>
          <w:p>
            <w:pPr>
              <w:spacing w:after="200"/>
            </w:pPr>
            <w:r>
              <w:rPr>
                <w:rFonts w:ascii="Calibri" w:cs="Calibri" w:eastAsia="Calibri" w:hAnsi="Calibri"/>
                <w:b/>
                <w:bCs/>
                <w:caps/>
                <w:color w:val="14213D"/>
                <w:spacing w:val="20"/>
                <w:sz w:val="19"/>
                <w:szCs w:val="19"/>
              </w:rPr>
              <w:t xml:space="preserve">For Orbit</w:t>
            </w:r>
          </w:p>
          <w:p>
            <w:pPr>
              <w:pBdr>
                <w:bottom w:val="single" w:color="9AA4B2" w:sz="6" w:space="2"/>
              </w:pBdr>
              <w:spacing w:after="2" w:before="260"/>
            </w:pPr>
            <w:r>
              <w:rPr>
                <w:rFonts w:ascii="Calibri" w:cs="Calibri" w:eastAsia="Calibri" w:hAnsi="Calibri"/>
                <w:sz w:val="21"/>
                <w:szCs w:val="21"/>
              </w:rPr>
              <w:t xml:space="preserve"/>
            </w:r>
          </w:p>
          <w:p>
            <w:pPr>
              <w:spacing w:after="60"/>
            </w:pPr>
            <w:r>
              <w:rPr>
                <w:rFonts w:ascii="Calibri" w:cs="Calibri" w:eastAsia="Calibri" w:hAnsi="Calibri"/>
                <w:color w:val="5B6472"/>
                <w:sz w:val="17"/>
                <w:szCs w:val="17"/>
              </w:rPr>
              <w:t xml:space="preserve">Signature</w:t>
            </w:r>
          </w:p>
          <w:p>
            <w:pPr>
              <w:pBdr>
                <w:bottom w:val="single" w:color="9AA4B2" w:sz="6" w:space="2"/>
              </w:pBdr>
              <w:spacing w:after="2" w:before="260"/>
            </w:pPr>
            <w:r>
              <w:rPr>
                <w:rFonts w:ascii="Calibri" w:cs="Calibri" w:eastAsia="Calibri" w:hAnsi="Calibri"/>
                <w:sz w:val="21"/>
                <w:szCs w:val="21"/>
              </w:rPr>
              <w:t xml:space="preserve"/>
            </w:r>
          </w:p>
          <w:p>
            <w:pPr>
              <w:spacing w:after="60"/>
            </w:pPr>
            <w:r>
              <w:rPr>
                <w:rFonts w:ascii="Calibri" w:cs="Calibri" w:eastAsia="Calibri" w:hAnsi="Calibri"/>
                <w:color w:val="5B6472"/>
                <w:sz w:val="17"/>
                <w:szCs w:val="17"/>
              </w:rPr>
              <w:t xml:space="preserve">Name</w:t>
            </w:r>
          </w:p>
          <w:p>
            <w:pPr>
              <w:pBdr>
                <w:bottom w:val="single" w:color="9AA4B2" w:sz="6" w:space="2"/>
              </w:pBdr>
              <w:spacing w:after="2" w:before="260"/>
            </w:pPr>
            <w:r>
              <w:rPr>
                <w:rFonts w:ascii="Calibri" w:cs="Calibri" w:eastAsia="Calibri" w:hAnsi="Calibri"/>
                <w:sz w:val="21"/>
                <w:szCs w:val="21"/>
              </w:rPr>
              <w:t xml:space="preserve"/>
            </w:r>
          </w:p>
          <w:p>
            <w:pPr>
              <w:spacing w:after="60"/>
            </w:pPr>
            <w:r>
              <w:rPr>
                <w:rFonts w:ascii="Calibri" w:cs="Calibri" w:eastAsia="Calibri" w:hAnsi="Calibri"/>
                <w:color w:val="5B6472"/>
                <w:sz w:val="17"/>
                <w:szCs w:val="17"/>
              </w:rPr>
              <w:t xml:space="preserve">Title</w:t>
            </w:r>
          </w:p>
          <w:p>
            <w:pPr>
              <w:pBdr>
                <w:bottom w:val="single" w:color="9AA4B2" w:sz="6" w:space="2"/>
              </w:pBdr>
              <w:spacing w:after="2" w:before="260"/>
            </w:pPr>
            <w:r>
              <w:rPr>
                <w:rFonts w:ascii="Calibri" w:cs="Calibri" w:eastAsia="Calibri" w:hAnsi="Calibri"/>
                <w:sz w:val="21"/>
                <w:szCs w:val="21"/>
              </w:rPr>
              <w:t xml:space="preserve"/>
            </w:r>
          </w:p>
          <w:p>
            <w:pPr>
              <w:spacing w:after="60"/>
            </w:pPr>
            <w:r>
              <w:rPr>
                <w:rFonts w:ascii="Calibri" w:cs="Calibri" w:eastAsia="Calibri" w:hAnsi="Calibri"/>
                <w:color w:val="5B6472"/>
                <w:sz w:val="17"/>
                <w:szCs w:val="17"/>
              </w:rPr>
              <w:t xml:space="preserve">Date</w:t>
            </w:r>
          </w:p>
        </w:tc>
        <w:tc>
          <w:tcPr>
            <w:tcW w:type="dxa" w:w="4400"/>
            <w:tcBorders>
              <w:top w:val="none" w:color="FFFFFF" w:sz="0"/>
              <w:left w:val="none" w:color="FFFFFF" w:sz="0"/>
              <w:bottom w:val="none" w:color="FFFFFF" w:sz="0"/>
              <w:right w:val="none" w:color="FFFFFF" w:sz="0"/>
            </w:tcBorders>
            <w:tcMar>
              <w:left w:type="dxa" w:w="300"/>
            </w:tcMar>
          </w:tcPr>
          <w:p>
            <w:pPr>
              <w:spacing w:after="200"/>
            </w:pPr>
            <w:r>
              <w:rPr>
                <w:rFonts w:ascii="Calibri" w:cs="Calibri" w:eastAsia="Calibri" w:hAnsi="Calibri"/>
                <w:b/>
                <w:bCs/>
                <w:caps/>
                <w:color w:val="14213D"/>
                <w:spacing w:val="20"/>
                <w:sz w:val="19"/>
                <w:szCs w:val="19"/>
              </w:rPr>
              <w:t xml:space="preserve">For the Client</w:t>
            </w:r>
          </w:p>
          <w:p>
            <w:pPr>
              <w:pBdr>
                <w:bottom w:val="single" w:color="9AA4B2" w:sz="6" w:space="2"/>
              </w:pBdr>
              <w:spacing w:after="2" w:before="260"/>
            </w:pPr>
            <w:r>
              <w:rPr>
                <w:rFonts w:ascii="Calibri" w:cs="Calibri" w:eastAsia="Calibri" w:hAnsi="Calibri"/>
                <w:sz w:val="21"/>
                <w:szCs w:val="21"/>
              </w:rPr>
              <w:t xml:space="preserve"/>
            </w:r>
          </w:p>
          <w:p>
            <w:pPr>
              <w:spacing w:after="60"/>
            </w:pPr>
            <w:r>
              <w:rPr>
                <w:rFonts w:ascii="Calibri" w:cs="Calibri" w:eastAsia="Calibri" w:hAnsi="Calibri"/>
                <w:color w:val="5B6472"/>
                <w:sz w:val="17"/>
                <w:szCs w:val="17"/>
              </w:rPr>
              <w:t xml:space="preserve">Signature</w:t>
            </w:r>
          </w:p>
          <w:p>
            <w:pPr>
              <w:pBdr>
                <w:bottom w:val="single" w:color="9AA4B2" w:sz="6" w:space="2"/>
              </w:pBdr>
              <w:spacing w:after="2" w:before="260"/>
            </w:pPr>
            <w:r>
              <w:rPr>
                <w:rFonts w:ascii="Calibri" w:cs="Calibri" w:eastAsia="Calibri" w:hAnsi="Calibri"/>
                <w:sz w:val="21"/>
                <w:szCs w:val="21"/>
              </w:rPr>
              <w:t xml:space="preserve"/>
            </w:r>
          </w:p>
          <w:p>
            <w:pPr>
              <w:spacing w:after="60"/>
            </w:pPr>
            <w:r>
              <w:rPr>
                <w:rFonts w:ascii="Calibri" w:cs="Calibri" w:eastAsia="Calibri" w:hAnsi="Calibri"/>
                <w:color w:val="5B6472"/>
                <w:sz w:val="17"/>
                <w:szCs w:val="17"/>
              </w:rPr>
              <w:t xml:space="preserve">Name</w:t>
            </w:r>
          </w:p>
          <w:p>
            <w:pPr>
              <w:pBdr>
                <w:bottom w:val="single" w:color="9AA4B2" w:sz="6" w:space="2"/>
              </w:pBdr>
              <w:spacing w:after="2" w:before="260"/>
            </w:pPr>
            <w:r>
              <w:rPr>
                <w:rFonts w:ascii="Calibri" w:cs="Calibri" w:eastAsia="Calibri" w:hAnsi="Calibri"/>
                <w:sz w:val="21"/>
                <w:szCs w:val="21"/>
              </w:rPr>
              <w:t xml:space="preserve"/>
            </w:r>
          </w:p>
          <w:p>
            <w:pPr>
              <w:spacing w:after="60"/>
            </w:pPr>
            <w:r>
              <w:rPr>
                <w:rFonts w:ascii="Calibri" w:cs="Calibri" w:eastAsia="Calibri" w:hAnsi="Calibri"/>
                <w:color w:val="5B6472"/>
                <w:sz w:val="17"/>
                <w:szCs w:val="17"/>
              </w:rPr>
              <w:t xml:space="preserve">Title</w:t>
            </w:r>
          </w:p>
          <w:p>
            <w:pPr>
              <w:pBdr>
                <w:bottom w:val="single" w:color="9AA4B2" w:sz="6" w:space="2"/>
              </w:pBdr>
              <w:spacing w:after="2" w:before="260"/>
            </w:pPr>
            <w:r>
              <w:rPr>
                <w:rFonts w:ascii="Calibri" w:cs="Calibri" w:eastAsia="Calibri" w:hAnsi="Calibri"/>
                <w:sz w:val="21"/>
                <w:szCs w:val="21"/>
              </w:rPr>
              <w:t xml:space="preserve"/>
            </w:r>
          </w:p>
          <w:p>
            <w:pPr>
              <w:spacing w:after="60"/>
            </w:pPr>
            <w:r>
              <w:rPr>
                <w:rFonts w:ascii="Calibri" w:cs="Calibri" w:eastAsia="Calibri" w:hAnsi="Calibri"/>
                <w:color w:val="5B6472"/>
                <w:sz w:val="17"/>
                <w:szCs w:val="17"/>
              </w:rPr>
              <w:t xml:space="preserve">Date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Calibri" w:cs="Calibri" w:eastAsia="Calibri" w:hAnsi="Calibri"/>
      <w:b/>
      <w:bCs/>
      <w:color w:val="14213D"/>
      <w:sz w:val="24"/>
      <w:szCs w:val="24"/>
    </w:rPr>
  </w:style>
  <w:style w:type="paragraph" w:styleId="Heading2">
    <w:name w:val="Heading 2"/>
    <w:basedOn w:val="Normal"/>
    <w:next w:val="Normal"/>
    <w:qFormat/>
    <w:pPr>
      <w:spacing w:after="80" w:before="160"/>
      <w:outlineLvl w:val="1"/>
    </w:pPr>
    <w:rPr>
      <w:rFonts w:ascii="Calibri" w:cs="Calibri" w:eastAsia="Calibri" w:hAnsi="Calibri"/>
      <w:b/>
      <w:bCs/>
      <w:color w:val="14213D"/>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2026-07-03T13:56:19.123Z</dcterms:created>
  <dcterms:modified xsi:type="dcterms:W3CDTF">2026-07-03T13:56:19.123Z</dcterms:modified>
</cp:coreProperties>
</file>

<file path=docProps/custom.xml><?xml version="1.0" encoding="utf-8"?>
<Properties xmlns="http://schemas.openxmlformats.org/officeDocument/2006/custom-properties" xmlns:vt="http://schemas.openxmlformats.org/officeDocument/2006/docPropsVTypes"/>
</file>