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Flow — Fundraising, Go-to-Market &amp; 18-Month Execution Plan</w:t>
      </w:r>
    </w:p>
    <w:p>
      <w:pPr>
        <w:jc w:val="left"/>
      </w:pPr>
      <w:r>
        <w:rPr>
          <w:b/>
          <w:sz w:val="22"/>
        </w:rPr>
        <w:t>Capital strategy, milestones, pricing hypothesis, customer acquisition path and investor use-of-funds</w:t>
      </w:r>
    </w:p>
    <w:p>
      <w:r>
        <w:t>Prepared from the internal Flow technical report plus external market and fundraising research current to 12 August 2026.</w:t>
      </w:r>
    </w:p>
    <w:p/>
    <w:p>
      <w:pPr>
        <w:pStyle w:val="Heading1"/>
      </w:pPr>
      <w:r>
        <w:t>1. Recommended Capital Strategy</w:t>
      </w:r>
    </w:p>
    <w:p>
      <w:pPr>
        <w:pStyle w:val="Callout"/>
      </w:pPr>
      <w:r>
        <w:t>Recommended raise: target approximately US$1.25M, with a practical range of US$1.0M–US$1.5M.</w:t>
      </w:r>
    </w:p>
    <w:p>
      <w:r>
        <w:t>This is not derived from code replacement value or from a generic SaaS valuation multiple. It is a milestone budget: enough capital to convert the existing technical foundation into a paid vertical product, harden production operations, run 10–20 real business pilots, prove repeatable onboarding, and build the first external-system adapter without immediately fundraising again.</w:t>
      </w:r>
    </w:p>
    <w:p>
      <w:r>
        <w:t>Current U.S. software fundraising benchmarks are much larger: Carta reported a recent software seed median around $4.1M raised on a $24.3M valuation in its July 2026 dataset. That should be treated as market context, not as a target for Flow. The company is pre-commercial, based outside the main U.S. hubs, and should optimize for credible milestones and founder dilution rather than headline valuation. [R1]</w:t>
      </w:r>
    </w:p>
    <w:p>
      <w:pPr>
        <w:pStyle w:val="Heading1"/>
      </w:pPr>
      <w:r>
        <w:t>2. Three Funding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584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Scenario</w:t>
            </w:r>
          </w:p>
        </w:tc>
        <w:tc>
          <w:tcPr>
            <w:tcW w:type="dxa" w:w="1728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Capital</w:t>
            </w:r>
          </w:p>
        </w:tc>
        <w:tc>
          <w:tcPr>
            <w:tcW w:type="dxa" w:w="1512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Runway</w:t>
            </w:r>
          </w:p>
        </w:tc>
        <w:tc>
          <w:tcPr>
            <w:tcW w:type="dxa" w:w="3312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Outcome</w:t>
            </w:r>
          </w:p>
        </w:tc>
        <w:tc>
          <w:tcPr>
            <w:tcW w:type="dxa" w:w="2880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Assessment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Lean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$650k–$800k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12–15 months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Core product + 5–10 pilots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Higher execution risk; little room for parallel GTM/security work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Recommended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$1.0M–$1.5M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16–20 months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Commercial v1 + 10–20 pilots + paid traction + one adapter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Best balance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Accelerated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$1.8M–$2.5M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20–24 months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Larger team + enterprise hardening + multiple integrations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Too much capital before product proof unless a strong lead investor exists</w:t>
            </w:r>
          </w:p>
        </w:tc>
      </w:tr>
    </w:tbl>
    <w:p/>
    <w:p>
      <w:pPr>
        <w:pStyle w:val="Heading1"/>
      </w:pPr>
      <w:r>
        <w:t>3. Recommended Use of US$1.25M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Bucket</w:t>
            </w:r>
          </w:p>
        </w:tc>
        <w:tc>
          <w:tcPr>
            <w:tcW w:type="dxa" w:w="1152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Share</w:t>
            </w:r>
          </w:p>
        </w:tc>
        <w:tc>
          <w:tcPr>
            <w:tcW w:type="dxa" w:w="1584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Amount</w:t>
            </w:r>
          </w:p>
        </w:tc>
        <w:tc>
          <w:tcPr>
            <w:tcW w:type="dxa" w:w="4464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Product + engineering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45%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$562,500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Agency vertical, frontend, workflows, Action Wall, observability, testing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AI / cloud / data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15%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$187,500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Model usage, hosting, databases, monitoring, evaluation, backups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Pilot onboarding + customer success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15%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$187,500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Data migration, design partners, support, implementation playbooks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Go-to-market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12%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$150,000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Founder-led sales support, demos, content, events, partner/channel experiments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Security / legal / compliance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8%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$100,000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Contracts, IP, privacy/security work, readiness for larger customers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Contingency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5%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$62,500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Provider changes, unexpected integration or reliability work</w:t>
            </w:r>
          </w:p>
        </w:tc>
      </w:tr>
    </w:tbl>
    <w:p/>
    <w:p>
      <w:pPr>
        <w:pStyle w:val="Heading1"/>
      </w:pPr>
      <w:r>
        <w:t>4. Execution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Period</w:t>
            </w:r>
          </w:p>
        </w:tc>
        <w:tc>
          <w:tcPr>
            <w:tcW w:type="dxa" w:w="2736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Milestone</w:t>
            </w:r>
          </w:p>
        </w:tc>
        <w:tc>
          <w:tcPr>
            <w:tcW w:type="dxa" w:w="6048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Definition of Done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0–3 months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Investor-grade agency product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Frontend, persistent demo workspace, 5–8 workflows, evidence UI, 3 design partners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4–6 months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Closed pilot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Live Observation minimum, Action Wall for selected actions, billing, onboarding playbook, 5 active pilots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7–9 months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Paid beta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10–20 paying/design-partner businesses, support process, model-cost telemetry, retention measurement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10–12 months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Commercial v1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Repeatable onboarding, agency pack v1, pricing validated, first external-system connector underway/live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13–18 months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Seed-readiness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Clear retention/ROI proof, stronger sales pipeline, second vertical decision based on evidence, enterprise controls roadmap</w:t>
            </w:r>
          </w:p>
        </w:tc>
      </w:tr>
    </w:tbl>
    <w:p/>
    <w:p>
      <w:pPr>
        <w:pStyle w:val="Heading1"/>
      </w:pPr>
      <w:r>
        <w:t>5. Seed-Ready Milestone — Do Not Raise the Next Round on 'More Features'</w:t>
      </w:r>
    </w:p>
    <w:p>
      <w:r>
        <w:t>A credible next-round gate should be based on outcomes. Example target criteria:</w:t>
      </w:r>
    </w:p>
    <w:p>
      <w:pPr>
        <w:pStyle w:val="ListBullet"/>
      </w:pPr>
      <w:r>
        <w:t>20+ paying businesses OR approximately $250k+ ARR, depending on contract size and sales cycle.</w:t>
      </w:r>
    </w:p>
    <w:p>
      <w:pPr>
        <w:pStyle w:val="ListBullet"/>
      </w:pPr>
      <w:r>
        <w:t>Strong 3–6 month logo retention; target &gt;90% while the cohort is small.</w:t>
      </w:r>
    </w:p>
    <w:p>
      <w:pPr>
        <w:pStyle w:val="ListBullet"/>
      </w:pPr>
      <w:r>
        <w:t>At least one measured ROI result: reporting time, margin recovery, utilization improvement or AR improvement.</w:t>
      </w:r>
    </w:p>
    <w:p>
      <w:pPr>
        <w:pStyle w:val="ListBullet"/>
      </w:pPr>
      <w:r>
        <w:t>Median onboarding measured in days, not bespoke multi-month consulting.</w:t>
      </w:r>
    </w:p>
    <w:p>
      <w:pPr>
        <w:pStyle w:val="ListBullet"/>
      </w:pPr>
      <w:r>
        <w:t>One external system adapter that proves portability beyond Flow-native data.</w:t>
      </w:r>
    </w:p>
    <w:p>
      <w:pPr>
        <w:pStyle w:val="ListBullet"/>
      </w:pPr>
      <w:r>
        <w:t>Known AI/model cost per active workspace and a credible gross-margin path.</w:t>
      </w:r>
    </w:p>
    <w:p>
      <w:pPr>
        <w:pStyle w:val="ListBullet"/>
      </w:pPr>
      <w:r>
        <w:t>Published internal evaluation suite for agency skills and high-risk actions.</w:t>
      </w:r>
    </w:p>
    <w:p>
      <w:r>
        <w:t>These are financing milestones, not guaranteed forecasts.</w:t>
      </w:r>
    </w:p>
    <w:p>
      <w:pPr>
        <w:pStyle w:val="Heading1"/>
      </w:pPr>
      <w:r>
        <w:t>6. Pricing Hypothesis for the Agency Wedge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Tier</w:t>
            </w:r>
          </w:p>
        </w:tc>
        <w:tc>
          <w:tcPr>
            <w:tcW w:type="dxa" w:w="2160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Working Price</w:t>
            </w:r>
          </w:p>
        </w:tc>
        <w:tc>
          <w:tcPr>
            <w:tcW w:type="dxa" w:w="6048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Position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Design Partner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$300–$500/month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Limited seats/workflows, direct founder access, feedback commitment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Growth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$750–$1,250/month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Core agency operating system, BLM intelligence, profitability, approvals, standard usage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Scale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$1,500–$3,000+/month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More seats/workspaces, higher AI usage, advanced governance, integrations, priority support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Implementation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$1,000–$10,000 one-time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Data import, mapping, workflow configuration; keep this productized and declining over time</w:t>
            </w:r>
          </w:p>
        </w:tc>
      </w:tr>
    </w:tbl>
    <w:p/>
    <w:p>
      <w:r>
        <w:t>These prices are hypotheses. Direct competitors have much lower entry-seat prices: Teamwork publicly starts around $9.99/user/month annually, while Odoo lists Standard at $24.90/user/month and Custom at $49/user/month annually. Flow therefore must justify a premium through measurable operating outcomes, not simply feature count. [R2][R3]</w:t>
      </w:r>
    </w:p>
    <w:p>
      <w:pPr>
        <w:pStyle w:val="Heading1"/>
      </w:pPr>
      <w:r>
        <w:t>7. Go-to-Market Sequence</w:t>
      </w:r>
    </w:p>
    <w:p>
      <w:pPr>
        <w:pStyle w:val="ListNumber"/>
      </w:pPr>
      <w:r>
        <w:t>Founder-led design partners: recruit 3 agencies where the founder/COO personally feels the pain.</w:t>
      </w:r>
    </w:p>
    <w:p>
      <w:pPr>
        <w:pStyle w:val="ListNumber"/>
      </w:pPr>
      <w:r>
        <w:t>Vertical proof: publish anonymized before/after operational metrics once real evidence exists.</w:t>
      </w:r>
    </w:p>
    <w:p>
      <w:pPr>
        <w:pStyle w:val="ListNumber"/>
      </w:pPr>
      <w:r>
        <w:t>Agency community distribution: founder networks, software-house communities, agency operators, CFO/operations consultants.</w:t>
      </w:r>
    </w:p>
    <w:p>
      <w:pPr>
        <w:pStyle w:val="ListNumber"/>
      </w:pPr>
      <w:r>
        <w:t>Implementation partners: accountants, fractional CFOs, operations consultants and MSPs who already sit inside target businesses.</w:t>
      </w:r>
    </w:p>
    <w:p>
      <w:pPr>
        <w:pStyle w:val="ListNumber"/>
      </w:pPr>
      <w:r>
        <w:t>Product-led demo: a preconfigured agency workspace prospects can understand in minutes.</w:t>
      </w:r>
    </w:p>
    <w:p>
      <w:pPr>
        <w:pStyle w:val="ListNumber"/>
      </w:pPr>
      <w:r>
        <w:t>Outbound after proof: target agencies with 10–100 employees and visible tool fragmentation.</w:t>
      </w:r>
    </w:p>
    <w:p>
      <w:pPr>
        <w:pStyle w:val="ListNumber"/>
      </w:pPr>
      <w:r>
        <w:t>Adjacent vertical expansion only after the agency skill pack/onboarding is repeatable.</w:t>
      </w:r>
    </w:p>
    <w:p>
      <w:pPr>
        <w:pStyle w:val="Heading1"/>
      </w:pPr>
      <w:r>
        <w:t>8. Customer Acquisition Message</w:t>
      </w:r>
    </w:p>
    <w:p>
      <w:r>
        <w:t>Do not lead with:</w:t>
      </w:r>
    </w:p>
    <w:p>
      <w:pPr>
        <w:pStyle w:val="ListBullet"/>
      </w:pPr>
      <w:r>
        <w:t>BLM architecture</w:t>
      </w:r>
    </w:p>
    <w:p>
      <w:pPr>
        <w:pStyle w:val="ListBullet"/>
      </w:pPr>
      <w:r>
        <w:t>LLM providers</w:t>
      </w:r>
    </w:p>
    <w:p>
      <w:pPr>
        <w:pStyle w:val="ListBullet"/>
      </w:pPr>
      <w:r>
        <w:t>vector search</w:t>
      </w:r>
    </w:p>
    <w:p>
      <w:pPr>
        <w:pStyle w:val="ListBullet"/>
      </w:pPr>
      <w:r>
        <w:t>runtime compiler</w:t>
      </w:r>
    </w:p>
    <w:p>
      <w:pPr>
        <w:pStyle w:val="ListBullet"/>
      </w:pPr>
      <w:r>
        <w:t>agent orchestration</w:t>
      </w:r>
    </w:p>
    <w:p>
      <w:r>
        <w:t>Lead with:</w:t>
      </w:r>
    </w:p>
    <w:p>
      <w:pPr>
        <w:pStyle w:val="Callout"/>
      </w:pPr>
      <w:r>
        <w:t>“Know which clients, projects and decisions are costing you money — and fix them from the same system.”</w:t>
      </w:r>
    </w:p>
    <w:p>
      <w:r>
        <w:t>Then demonstrate how Flow achieves that safely.</w:t>
      </w:r>
    </w:p>
    <w:p>
      <w:pPr>
        <w:pStyle w:val="Heading1"/>
      </w:pPr>
      <w:r>
        <w:t>9. Fundraising Process</w:t>
      </w:r>
    </w:p>
    <w:p>
      <w:pPr>
        <w:pStyle w:val="ListBullet"/>
      </w:pPr>
      <w:r>
        <w:t>Raise to the next meaningful milestone, not to maximize the bank balance. YC explicitly recommends this principle. [R5]</w:t>
      </w:r>
    </w:p>
    <w:p>
      <w:pPr>
        <w:pStyle w:val="ListBullet"/>
      </w:pPr>
      <w:r>
        <w:t>Use a coherent deck plus a one- to two-page executive summary; do not bury investors under architecture documentation in the first meeting. [R5]</w:t>
      </w:r>
    </w:p>
    <w:p>
      <w:pPr>
        <w:pStyle w:val="ListBullet"/>
      </w:pPr>
      <w:r>
        <w:t>The live demo should happen early in the meeting.</w:t>
      </w:r>
    </w:p>
    <w:p>
      <w:pPr>
        <w:pStyle w:val="ListBullet"/>
      </w:pPr>
      <w:r>
        <w:t>Research each investor's actual AI/SaaS/enterprise-software history before outreach.</w:t>
      </w:r>
    </w:p>
    <w:p>
      <w:pPr>
        <w:pStyle w:val="ListBullet"/>
      </w:pPr>
      <w:r>
        <w:t>Run a concentrated fundraising process rather than sporadic conversations over many months.</w:t>
      </w:r>
    </w:p>
    <w:p>
      <w:pPr>
        <w:pStyle w:val="ListBullet"/>
      </w:pPr>
      <w:r>
        <w:t>Do not copy U.S. median valuation numbers blindly. Carta's benchmarks reflect U.S.-based companies and a very AI-concentrated market. [R1][R6]</w:t>
      </w:r>
    </w:p>
    <w:p>
      <w:pPr>
        <w:pStyle w:val="Heading1"/>
      </w:pPr>
      <w:r>
        <w:t>10. Valuation / Instrument Guidance</w:t>
      </w:r>
    </w:p>
    <w:p>
      <w:r>
        <w:t>Do not anchor the company's valuation from the internal $500k–$1m engineering replacement estimate. Replacement cost is not company value. For an early round, price/cap should reflect product proof, team, market, investor demand, jurisdiction and dilution goals. Carta's pre-seed data shows SAFEs remain the dominant instrument in the U.S., but legal structure and investor jurisdiction must be reviewed with qualified counsel before choosing an instrument. [R7]</w:t>
      </w:r>
    </w:p>
    <w:p>
      <w:pPr>
        <w:pStyle w:val="Callout"/>
      </w:pPr>
      <w:r>
        <w:t>Recommended negotiation posture: lead with the capital required and the milestone it buys. Do not lead with an aggressive valuation before investor demand exists.</w:t>
      </w:r>
    </w:p>
    <w:p>
      <w:pPr>
        <w:pStyle w:val="Heading1"/>
      </w:pPr>
      <w:r>
        <w:t>11. What the Raise Must Buy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Proof</w:t>
            </w:r>
          </w:p>
        </w:tc>
        <w:tc>
          <w:tcPr>
            <w:tcW w:type="dxa" w:w="7200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Required Result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Commercial proof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Real businesses using real data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Product proof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Non-founder users can operate the product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Intelligence proof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BLM beats generic AI on defined agency evaluations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Trust proof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Evidence, deterministic calculations, permissions and actions are auditable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Economic proof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Pricing, gross-margin path and measurable customer ROI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Scale proof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Onboarding is increasingly repeatable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Portability proof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At least one external system/ERP integration works</w:t>
            </w:r>
          </w:p>
        </w:tc>
      </w:tr>
    </w:tbl>
    <w:p/>
    <w:p>
      <w:pPr>
        <w:pStyle w:val="Heading1"/>
      </w:pPr>
      <w:r>
        <w:t>12. The Biggest Financial Risk</w:t>
      </w:r>
    </w:p>
    <w:p>
      <w:r>
        <w:t>The biggest risk is not model API cost by itself. It is becoming a services company disguised as SaaS: every new customer requiring months of custom mapping, custom logic and founder attention. The product architecture should therefore measure implementation hours per customer as aggressively as it measures LLM latency.</w:t>
      </w:r>
    </w:p>
    <w:p>
      <w:pPr>
        <w:pStyle w:val="Heading1"/>
      </w:pPr>
      <w:r>
        <w:t>13. Investor-Ready KPIs to Track from Day 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Area</w:t>
            </w:r>
          </w:p>
        </w:tc>
        <w:tc>
          <w:tcPr>
            <w:tcW w:type="dxa" w:w="7776"/>
            <w:shd w:fill="E7E6E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Metrics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Product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Weekly active workspaces, active users, completed workflows, AI questions resolved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Quality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Grounded-answer pass rate, deterministic correctness, action error rate, human override rate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Commercial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MRR/ARR, new logos, expansion, churn, sales cycle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Onboarding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Days to live, implementation hours, % mapped automatically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Economics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Gross margin, AI/cloud cost per workspace, support cost per customer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Outcome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Hours saved, margin leakage recovered, utilization change, AR improvement</w:t>
            </w:r>
          </w:p>
        </w:tc>
      </w:tr>
    </w:tbl>
    <w:p/>
    <w:p>
      <w:pPr>
        <w:pStyle w:val="Heading1"/>
      </w:pPr>
      <w:r>
        <w:t>14. Final Capital Recommendation</w:t>
      </w:r>
    </w:p>
    <w:p>
      <w:pPr>
        <w:pStyle w:val="Callout"/>
      </w:pPr>
      <w:r>
        <w:t>Target a US$1.25M round to buy roughly 18 months of disciplined execution. The purpose is not to 'scale the server'. The purpose is to prove a repeatable business: paid agencies, measurable ROI, reliable BLM, safe actions and one portability proof.</w:t>
      </w:r>
    </w:p>
    <w:p>
      <w:r>
        <w:t>If the founder can secure meaningful paid pilots before fundraising, the negotiating position improves materially. If there is still zero external usage, reduce the amount or close an initial tranche/design-partner round rather than pretending the company is already at seed-scale proof.</w:t>
      </w:r>
    </w:p>
    <w:p>
      <w:pPr>
        <w:pStyle w:val="Heading1"/>
      </w:pPr>
      <w:r>
        <w:t>Research References</w:t>
      </w:r>
    </w:p>
    <w:p>
      <w:r>
        <w:t>External references are included for market context. Market-size estimates and funding benchmarks are third-party data, not guarantees.</w:t>
      </w:r>
    </w:p>
    <w:p>
      <w:r>
        <w:rPr>
          <w:b/>
        </w:rPr>
        <w:t xml:space="preserve">[R1] </w:t>
      </w:r>
      <w:r>
        <w:t>Carta, VC Startup Fundraising Benchmarks From 1000 Rounds, July 2026 — software-only U.S. dataset: median seed valuation $24.3M on $4.1M raised.</w:t>
      </w:r>
    </w:p>
    <w:p>
      <w:r>
        <w:rPr>
          <w:b/>
        </w:rPr>
        <w:t xml:space="preserve">[R2] </w:t>
      </w:r>
      <w:r>
        <w:t>Teamwork.com public pricing, Aug 2026 — Basics $9.99/user/month billed annually; AI usage model evolving.</w:t>
      </w:r>
    </w:p>
    <w:p>
      <w:r>
        <w:rPr>
          <w:b/>
        </w:rPr>
        <w:t xml:space="preserve">[R3] </w:t>
      </w:r>
      <w:r>
        <w:t>Odoo public pricing, Aug 2026 — Standard $24.90/user/month, Custom $49/user/month on annual billing; implementation is separate.</w:t>
      </w:r>
    </w:p>
    <w:p>
      <w:r>
        <w:rPr>
          <w:b/>
        </w:rPr>
        <w:t xml:space="preserve">[R4] </w:t>
      </w:r>
      <w:r>
        <w:t>Carta, State of Private Markets Q1 2026 — &gt;60% of venture capital on Carta went to AI companies; capital concentration is high.</w:t>
      </w:r>
    </w:p>
    <w:p>
      <w:r>
        <w:rPr>
          <w:b/>
        </w:rPr>
        <w:t xml:space="preserve">[R5] </w:t>
      </w:r>
      <w:r>
        <w:t>Y Combinator, A Guide to Seed Fundraising — raise enough to reach the next meaningful milestone; use a clear executive summary and deck; demos are highly valuable.</w:t>
      </w:r>
    </w:p>
    <w:p>
      <w:r>
        <w:rPr>
          <w:b/>
        </w:rPr>
        <w:t xml:space="preserve">[R6] </w:t>
      </w:r>
      <w:r>
        <w:t>Carta, H1 2026 market update — total venture funding rose, but seed capital contracted year over year, reinforcing that investor selectivity remains high.</w:t>
      </w:r>
    </w:p>
    <w:p>
      <w:r>
        <w:rPr>
          <w:b/>
        </w:rPr>
        <w:t xml:space="preserve">[R7] </w:t>
      </w:r>
      <w:r>
        <w:t>Carta, State of Pre-Seed Q1 2026 / 2025 review — SAFEs remain the dominant U.S. pre-seed instrument; valuation caps vary materially by round size.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Confidential — Flow investor preparation — 12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360" w:right="360"/>
    </w:pPr>
    <w:rPr>
      <w:rFonts w:ascii="Aptos" w:hAnsi="Aptos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