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Flow — Investor Master Strategy &amp; Critical Market Positioning</w:t>
      </w:r>
    </w:p>
    <w:p>
      <w:pPr>
        <w:jc w:val="left"/>
      </w:pPr>
      <w:r>
        <w:rPr>
          <w:b/>
          <w:sz w:val="22"/>
        </w:rPr>
        <w:t>Founder thesis, product positioning, competitive reality, pitch narrative, investor Q&amp;A and fundraising readiness</w:t>
      </w:r>
    </w:p>
    <w:p>
      <w:r>
        <w:t>Prepared from the internal Flow technical report plus external market and fundraising research current to 12 August 2026.</w:t>
      </w:r>
    </w:p>
    <w:p/>
    <w:p>
      <w:pPr>
        <w:pStyle w:val="Heading1"/>
      </w:pPr>
      <w:r>
        <w:t>1. Executive Verdict</w:t>
      </w:r>
    </w:p>
    <w:p>
      <w:r>
        <w:t>Flow is technically substantial enough to justify building an investor-facing product now, but it is not yet commercially proven. The correct strategy is not to finish a universal ERP before fundraising. The correct strategy is to turn the existing runtime, BLM, semantics, deterministic logic and security foundations into one narrow, visibly useful vertical product, prove it with real businesses, and use that proof to fund expansion.</w:t>
      </w:r>
    </w:p>
    <w:p>
      <w:pPr>
        <w:pStyle w:val="Callout"/>
      </w:pPr>
      <w:r>
        <w:t>Core recommendation: pitch Flow as a governed AI business operating intelligence platform, but sell the first product as an agency operating system for software, digital and professional-service firms.</w:t>
      </w:r>
    </w:p>
    <w:p>
      <w:pPr>
        <w:pStyle w:val="Heading1"/>
      </w:pPr>
      <w:r>
        <w:t>2. What Flow Should Say It Is</w:t>
      </w:r>
    </w:p>
    <w:p>
      <w:r>
        <w:t>Investor-facing one-line definition:</w:t>
      </w:r>
    </w:p>
    <w:p>
      <w:pPr>
        <w:pStyle w:val="Callout"/>
      </w:pPr>
      <w:r>
        <w:t>Flow connects sales, delivery, finance and people data, then uses a governed AI business brain to explain what is happening, calculate what matters, and safely execute approved work.</w:t>
      </w:r>
    </w:p>
    <w:p>
      <w:r>
        <w:t>Long-form category definition:</w:t>
      </w:r>
    </w:p>
    <w:p>
      <w:r>
        <w:t>Flow is an AI-native Business Operating Intelligence Platform. Its BLM is model-independent and sits between business data and execution. It combines canonical business semantics, workspace-specific context, governed knowledge, deterministic business logic, permissions and controlled actions. The same intelligence layer can power Flow's own native product and, later, operate above external ERP systems.</w:t>
      </w:r>
    </w:p>
    <w:p>
      <w:pPr>
        <w:pStyle w:val="Heading1"/>
      </w:pPr>
      <w:r>
        <w:t>3. What Not to Claim</w:t>
      </w:r>
    </w:p>
    <w:p>
      <w:pPr>
        <w:pStyle w:val="ListBullet"/>
      </w:pPr>
      <w:r>
        <w:t>Do not claim Flow is the first 'Operating System for Business'. Zoho already uses that exact category language. [R8]</w:t>
      </w:r>
    </w:p>
    <w:p>
      <w:pPr>
        <w:pStyle w:val="ListBullet"/>
      </w:pPr>
      <w:r>
        <w:t>Do not claim 'Odoo with AI'. Odoo 19 already has configurable AI agents, sources, topics and tools. [R6]</w:t>
      </w:r>
    </w:p>
    <w:p>
      <w:pPr>
        <w:pStyle w:val="ListBullet"/>
      </w:pPr>
      <w:r>
        <w:t>Do not claim agency profitability/resource management is new. Productive, Scoro and Teamwork already sell this. [R9][R10][R11]</w:t>
      </w:r>
    </w:p>
    <w:p>
      <w:pPr>
        <w:pStyle w:val="ListBullet"/>
      </w:pPr>
      <w:r>
        <w:t>Do not claim ERP-neutrality is proven until a production external adapter is live.</w:t>
      </w:r>
    </w:p>
    <w:p>
      <w:pPr>
        <w:pStyle w:val="ListBullet"/>
      </w:pPr>
      <w:r>
        <w:t>Do not claim BLM is a newly trained foundation model. The internal report correctly describes it today as an intelligence architecture around general-purpose models.</w:t>
      </w:r>
    </w:p>
    <w:p>
      <w:pPr>
        <w:pStyle w:val="ListBullet"/>
      </w:pPr>
      <w:r>
        <w:t>Do not claim autonomous execution before the production Action Wall / execution bridge is demonstrated.</w:t>
      </w:r>
    </w:p>
    <w:p>
      <w:pPr>
        <w:pStyle w:val="Heading1"/>
      </w:pPr>
      <w:r>
        <w:t>4. Why the Direction Is Still Attractive</w:t>
      </w:r>
    </w:p>
    <w:p>
      <w:r>
        <w:t>The market is crowded, but the architecture can still be differentiated by combination rather than by any single component. Large incumbents are moving toward agentic business applications, which validates the direction while simultaneously raising the bar. Microsoft is putting agents across Dynamics 365; SAP Joule Studio grounds agents in live business data, processes and semantics; Oracle Fusion Agentic Applications combine data, workflows, policies, approvals and execution; Palantir's Ontology unifies data, logic, actions and security. [R12][R13][R14][R15]</w:t>
      </w:r>
    </w:p>
    <w:p>
      <w:pPr>
        <w:pStyle w:val="Callout"/>
      </w:pPr>
      <w:r>
        <w:t>The winning question is not 'Does the market exist?' It does. The winning question is 'Can Flow deliver a materially simpler, cheaper and more portable version for a focused customer segment?'</w:t>
      </w:r>
    </w:p>
    <w:p>
      <w:pPr>
        <w:pStyle w:val="Heading1"/>
      </w:pPr>
      <w:r>
        <w:t>5. The Initial Wedge</w:t>
      </w:r>
    </w:p>
    <w:p>
      <w:r>
        <w:t>Recommended launch wedge: software houses, digital marketing agencies, product-development agencies, consultancies and IT-service firms with roughly 10–100 employees.</w:t>
      </w:r>
    </w:p>
    <w:p>
      <w:r>
        <w:t>Why this wedge is appropriate:</w:t>
      </w:r>
    </w:p>
    <w:p>
      <w:pPr>
        <w:pStyle w:val="ListBullet"/>
      </w:pPr>
      <w:r>
        <w:t>Their workflows repeat: lead → proposal → client → project → staffing → time/cost → invoice → collection → profitability.</w:t>
      </w:r>
    </w:p>
    <w:p>
      <w:pPr>
        <w:pStyle w:val="ListBullet"/>
      </w:pPr>
      <w:r>
        <w:t>They suffer from tool fragmentation and management-by-spreadsheet.</w:t>
      </w:r>
    </w:p>
    <w:p>
      <w:pPr>
        <w:pStyle w:val="ListBullet"/>
      </w:pPr>
      <w:r>
        <w:t>Revenue, utilization, project margin, scope creep, resource loading and receivables are measurable.</w:t>
      </w:r>
    </w:p>
    <w:p>
      <w:pPr>
        <w:pStyle w:val="ListBullet"/>
      </w:pPr>
      <w:r>
        <w:t>Most high-value questions cross multiple systems, which creates a natural role for BLM.</w:t>
      </w:r>
    </w:p>
    <w:p>
      <w:pPr>
        <w:pStyle w:val="ListBullet"/>
      </w:pPr>
      <w:r>
        <w:t>The professional-services automation market is already a validated category; Grand View Research estimates it at $16.4B in 2026, while the broader ERP software market is estimated at $83.2B in 2026. Treat these as adjacency evidence, not as Flow's immediately addressable TAM. [R16][R17]</w:t>
      </w:r>
    </w:p>
    <w:p>
      <w:pPr>
        <w:pStyle w:val="Heading1"/>
      </w:pPr>
      <w:r>
        <w:t>6. Product Wedge vs Long-Term Platform</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E7E6E6"/>
            <w:vAlign w:val="center"/>
          </w:tcPr>
          <w:p>
            <w:r/>
            <w:r>
              <w:rPr>
                <w:rFonts w:ascii="Aptos" w:hAnsi="Aptos"/>
                <w:b/>
                <w:sz w:val="17"/>
              </w:rPr>
              <w:t>Horizon</w:t>
            </w:r>
          </w:p>
        </w:tc>
        <w:tc>
          <w:tcPr>
            <w:tcW w:type="dxa" w:w="2880"/>
            <w:shd w:fill="E7E6E6"/>
            <w:vAlign w:val="center"/>
          </w:tcPr>
          <w:p>
            <w:r/>
            <w:r>
              <w:rPr>
                <w:rFonts w:ascii="Aptos" w:hAnsi="Aptos"/>
                <w:b/>
                <w:sz w:val="17"/>
              </w:rPr>
              <w:t>Commercial Position</w:t>
            </w:r>
          </w:p>
        </w:tc>
        <w:tc>
          <w:tcPr>
            <w:tcW w:type="dxa" w:w="4608"/>
            <w:shd w:fill="E7E6E6"/>
            <w:vAlign w:val="center"/>
          </w:tcPr>
          <w:p>
            <w:r/>
            <w:r>
              <w:rPr>
                <w:rFonts w:ascii="Aptos" w:hAnsi="Aptos"/>
                <w:b/>
                <w:sz w:val="17"/>
              </w:rPr>
              <w:t>Proof Required</w:t>
            </w:r>
          </w:p>
        </w:tc>
      </w:tr>
      <w:tr>
        <w:tc>
          <w:tcPr>
            <w:tcW w:type="dxa" w:w="1440"/>
            <w:vAlign w:val="top"/>
          </w:tcPr>
          <w:p>
            <w:r/>
            <w:r>
              <w:rPr>
                <w:rFonts w:ascii="Aptos" w:hAnsi="Aptos"/>
                <w:b w:val="0"/>
                <w:sz w:val="17"/>
              </w:rPr>
              <w:t>Now</w:t>
            </w:r>
          </w:p>
        </w:tc>
        <w:tc>
          <w:tcPr>
            <w:tcW w:type="dxa" w:w="2880"/>
            <w:vAlign w:val="top"/>
          </w:tcPr>
          <w:p>
            <w:r/>
            <w:r>
              <w:rPr>
                <w:rFonts w:ascii="Aptos" w:hAnsi="Aptos"/>
                <w:b w:val="0"/>
                <w:sz w:val="17"/>
              </w:rPr>
              <w:t>Agency Operating Intelligence</w:t>
            </w:r>
          </w:p>
        </w:tc>
        <w:tc>
          <w:tcPr>
            <w:tcW w:type="dxa" w:w="4608"/>
            <w:vAlign w:val="top"/>
          </w:tcPr>
          <w:p>
            <w:r/>
            <w:r>
              <w:rPr>
                <w:rFonts w:ascii="Aptos" w:hAnsi="Aptos"/>
                <w:b w:val="0"/>
                <w:sz w:val="17"/>
              </w:rPr>
              <w:t>One vertical, one data model, 5–8 killer workflows, real pilots</w:t>
            </w:r>
          </w:p>
        </w:tc>
      </w:tr>
      <w:tr>
        <w:tc>
          <w:tcPr>
            <w:tcW w:type="dxa" w:w="1440"/>
            <w:vAlign w:val="top"/>
          </w:tcPr>
          <w:p>
            <w:r/>
            <w:r>
              <w:rPr>
                <w:rFonts w:ascii="Aptos" w:hAnsi="Aptos"/>
                <w:b w:val="0"/>
                <w:sz w:val="17"/>
              </w:rPr>
              <w:t>Next</w:t>
            </w:r>
          </w:p>
        </w:tc>
        <w:tc>
          <w:tcPr>
            <w:tcW w:type="dxa" w:w="2880"/>
            <w:vAlign w:val="top"/>
          </w:tcPr>
          <w:p>
            <w:r/>
            <w:r>
              <w:rPr>
                <w:rFonts w:ascii="Aptos" w:hAnsi="Aptos"/>
                <w:b w:val="0"/>
                <w:sz w:val="17"/>
              </w:rPr>
              <w:t>Professional Services Platform</w:t>
            </w:r>
          </w:p>
        </w:tc>
        <w:tc>
          <w:tcPr>
            <w:tcW w:type="dxa" w:w="4608"/>
            <w:vAlign w:val="top"/>
          </w:tcPr>
          <w:p>
            <w:r/>
            <w:r>
              <w:rPr>
                <w:rFonts w:ascii="Aptos" w:hAnsi="Aptos"/>
                <w:b w:val="0"/>
                <w:sz w:val="17"/>
              </w:rPr>
              <w:t>Agencies, consultancies, software houses, legal/accounting-style service operations</w:t>
            </w:r>
          </w:p>
        </w:tc>
      </w:tr>
      <w:tr>
        <w:tc>
          <w:tcPr>
            <w:tcW w:type="dxa" w:w="1440"/>
            <w:vAlign w:val="top"/>
          </w:tcPr>
          <w:p>
            <w:r/>
            <w:r>
              <w:rPr>
                <w:rFonts w:ascii="Aptos" w:hAnsi="Aptos"/>
                <w:b w:val="0"/>
                <w:sz w:val="17"/>
              </w:rPr>
              <w:t>Later</w:t>
            </w:r>
          </w:p>
        </w:tc>
        <w:tc>
          <w:tcPr>
            <w:tcW w:type="dxa" w:w="2880"/>
            <w:vAlign w:val="top"/>
          </w:tcPr>
          <w:p>
            <w:r/>
            <w:r>
              <w:rPr>
                <w:rFonts w:ascii="Aptos" w:hAnsi="Aptos"/>
                <w:b w:val="0"/>
                <w:sz w:val="17"/>
              </w:rPr>
              <w:t>Flow Native + Flow Intelligence Layer</w:t>
            </w:r>
          </w:p>
        </w:tc>
        <w:tc>
          <w:tcPr>
            <w:tcW w:type="dxa" w:w="4608"/>
            <w:vAlign w:val="top"/>
          </w:tcPr>
          <w:p>
            <w:r/>
            <w:r>
              <w:rPr>
                <w:rFonts w:ascii="Aptos" w:hAnsi="Aptos"/>
                <w:b w:val="0"/>
                <w:sz w:val="17"/>
              </w:rPr>
              <w:t>Native SMB operating system plus adapters over Odoo/Dynamics/ERPNext/custom systems</w:t>
            </w:r>
          </w:p>
        </w:tc>
      </w:tr>
      <w:tr>
        <w:tc>
          <w:tcPr>
            <w:tcW w:type="dxa" w:w="1440"/>
            <w:vAlign w:val="top"/>
          </w:tcPr>
          <w:p>
            <w:r/>
            <w:r>
              <w:rPr>
                <w:rFonts w:ascii="Aptos" w:hAnsi="Aptos"/>
                <w:b w:val="0"/>
                <w:sz w:val="17"/>
              </w:rPr>
              <w:t>Enterprise</w:t>
            </w:r>
          </w:p>
        </w:tc>
        <w:tc>
          <w:tcPr>
            <w:tcW w:type="dxa" w:w="2880"/>
            <w:vAlign w:val="top"/>
          </w:tcPr>
          <w:p>
            <w:r/>
            <w:r>
              <w:rPr>
                <w:rFonts w:ascii="Aptos" w:hAnsi="Aptos"/>
                <w:b w:val="0"/>
                <w:sz w:val="17"/>
              </w:rPr>
              <w:t>Cross-ERP Governed Intelligence</w:t>
            </w:r>
          </w:p>
        </w:tc>
        <w:tc>
          <w:tcPr>
            <w:tcW w:type="dxa" w:w="4608"/>
            <w:vAlign w:val="top"/>
          </w:tcPr>
          <w:p>
            <w:r/>
            <w:r>
              <w:rPr>
                <w:rFonts w:ascii="Aptos" w:hAnsi="Aptos"/>
                <w:b w:val="0"/>
                <w:sz w:val="17"/>
              </w:rPr>
              <w:t>Semantics, skills, evidence, policies, deterministic logic and safe actions across incumbent systems</w:t>
            </w:r>
          </w:p>
        </w:tc>
      </w:tr>
    </w:tbl>
    <w:p/>
    <w:p>
      <w:pPr>
        <w:pStyle w:val="Heading1"/>
      </w:pPr>
      <w:r>
        <w:t>7. The Moat — Ranked</w:t>
      </w:r>
    </w:p>
    <w:tbl>
      <w:tblPr>
        <w:tblStyle w:val="TableGrid"/>
        <w:tblW w:type="auto" w:w="0"/>
        <w:jc w:val="center"/>
        <w:tblLook w:firstColumn="1" w:firstRow="1" w:lastColumn="0" w:lastRow="0" w:noHBand="0" w:noVBand="1" w:val="04A0"/>
      </w:tblPr>
      <w:tblGrid>
        <w:gridCol w:w="3389"/>
        <w:gridCol w:w="3389"/>
        <w:gridCol w:w="3389"/>
      </w:tblGrid>
      <w:tr>
        <w:tc>
          <w:tcPr>
            <w:tcW w:type="dxa" w:w="864"/>
            <w:shd w:fill="E7E6E6"/>
            <w:vAlign w:val="center"/>
          </w:tcPr>
          <w:p>
            <w:r/>
            <w:r>
              <w:rPr>
                <w:rFonts w:ascii="Aptos" w:hAnsi="Aptos"/>
                <w:b/>
                <w:sz w:val="17"/>
              </w:rPr>
              <w:t>Rank</w:t>
            </w:r>
          </w:p>
        </w:tc>
        <w:tc>
          <w:tcPr>
            <w:tcW w:type="dxa" w:w="3168"/>
            <w:shd w:fill="E7E6E6"/>
            <w:vAlign w:val="center"/>
          </w:tcPr>
          <w:p>
            <w:r/>
            <w:r>
              <w:rPr>
                <w:rFonts w:ascii="Aptos" w:hAnsi="Aptos"/>
                <w:b/>
                <w:sz w:val="17"/>
              </w:rPr>
              <w:t>Potential Moat</w:t>
            </w:r>
          </w:p>
        </w:tc>
        <w:tc>
          <w:tcPr>
            <w:tcW w:type="dxa" w:w="5040"/>
            <w:shd w:fill="E7E6E6"/>
            <w:vAlign w:val="center"/>
          </w:tcPr>
          <w:p>
            <w:r/>
            <w:r>
              <w:rPr>
                <w:rFonts w:ascii="Aptos" w:hAnsi="Aptos"/>
                <w:b/>
                <w:sz w:val="17"/>
              </w:rPr>
              <w:t>Why It Matters</w:t>
            </w:r>
          </w:p>
        </w:tc>
      </w:tr>
      <w:tr>
        <w:tc>
          <w:tcPr>
            <w:tcW w:type="dxa" w:w="864"/>
            <w:vAlign w:val="top"/>
          </w:tcPr>
          <w:p>
            <w:r/>
            <w:r>
              <w:rPr>
                <w:rFonts w:ascii="Aptos" w:hAnsi="Aptos"/>
                <w:b w:val="0"/>
                <w:sz w:val="17"/>
              </w:rPr>
              <w:t>1</w:t>
            </w:r>
          </w:p>
        </w:tc>
        <w:tc>
          <w:tcPr>
            <w:tcW w:type="dxa" w:w="3168"/>
            <w:vAlign w:val="top"/>
          </w:tcPr>
          <w:p>
            <w:r/>
            <w:r>
              <w:rPr>
                <w:rFonts w:ascii="Aptos" w:hAnsi="Aptos"/>
                <w:b w:val="0"/>
                <w:sz w:val="17"/>
              </w:rPr>
              <w:t>Canonical business semantic model</w:t>
            </w:r>
          </w:p>
        </w:tc>
        <w:tc>
          <w:tcPr>
            <w:tcW w:type="dxa" w:w="5040"/>
            <w:vAlign w:val="top"/>
          </w:tcPr>
          <w:p>
            <w:r/>
            <w:r>
              <w:rPr>
                <w:rFonts w:ascii="Aptos" w:hAnsi="Aptos"/>
                <w:b w:val="0"/>
                <w:sz w:val="17"/>
              </w:rPr>
              <w:t>Compounds with every mapped workflow and external system</w:t>
            </w:r>
          </w:p>
        </w:tc>
      </w:tr>
      <w:tr>
        <w:tc>
          <w:tcPr>
            <w:tcW w:type="dxa" w:w="864"/>
            <w:vAlign w:val="top"/>
          </w:tcPr>
          <w:p>
            <w:r/>
            <w:r>
              <w:rPr>
                <w:rFonts w:ascii="Aptos" w:hAnsi="Aptos"/>
                <w:b w:val="0"/>
                <w:sz w:val="17"/>
              </w:rPr>
              <w:t>2</w:t>
            </w:r>
          </w:p>
        </w:tc>
        <w:tc>
          <w:tcPr>
            <w:tcW w:type="dxa" w:w="3168"/>
            <w:vAlign w:val="top"/>
          </w:tcPr>
          <w:p>
            <w:r/>
            <w:r>
              <w:rPr>
                <w:rFonts w:ascii="Aptos" w:hAnsi="Aptos"/>
                <w:b w:val="0"/>
                <w:sz w:val="17"/>
              </w:rPr>
              <w:t>Governed deterministic business logic</w:t>
            </w:r>
          </w:p>
        </w:tc>
        <w:tc>
          <w:tcPr>
            <w:tcW w:type="dxa" w:w="5040"/>
            <w:vAlign w:val="top"/>
          </w:tcPr>
          <w:p>
            <w:r/>
            <w:r>
              <w:rPr>
                <w:rFonts w:ascii="Aptos" w:hAnsi="Aptos"/>
                <w:b w:val="0"/>
                <w:sz w:val="17"/>
              </w:rPr>
              <w:t>Prevents authoritative numbers from becoming model improvisation</w:t>
            </w:r>
          </w:p>
        </w:tc>
      </w:tr>
      <w:tr>
        <w:tc>
          <w:tcPr>
            <w:tcW w:type="dxa" w:w="864"/>
            <w:vAlign w:val="top"/>
          </w:tcPr>
          <w:p>
            <w:r/>
            <w:r>
              <w:rPr>
                <w:rFonts w:ascii="Aptos" w:hAnsi="Aptos"/>
                <w:b w:val="0"/>
                <w:sz w:val="17"/>
              </w:rPr>
              <w:t>3</w:t>
            </w:r>
          </w:p>
        </w:tc>
        <w:tc>
          <w:tcPr>
            <w:tcW w:type="dxa" w:w="3168"/>
            <w:vAlign w:val="top"/>
          </w:tcPr>
          <w:p>
            <w:r/>
            <w:r>
              <w:rPr>
                <w:rFonts w:ascii="Aptos" w:hAnsi="Aptos"/>
                <w:b w:val="0"/>
                <w:sz w:val="17"/>
              </w:rPr>
              <w:t>Vertical skill + expertise packs</w:t>
            </w:r>
          </w:p>
        </w:tc>
        <w:tc>
          <w:tcPr>
            <w:tcW w:type="dxa" w:w="5040"/>
            <w:vAlign w:val="top"/>
          </w:tcPr>
          <w:p>
            <w:r/>
            <w:r>
              <w:rPr>
                <w:rFonts w:ascii="Aptos" w:hAnsi="Aptos"/>
                <w:b w:val="0"/>
                <w:sz w:val="17"/>
              </w:rPr>
              <w:t>Turns one BLM core into repeatable industry-specific business brains</w:t>
            </w:r>
          </w:p>
        </w:tc>
      </w:tr>
      <w:tr>
        <w:tc>
          <w:tcPr>
            <w:tcW w:type="dxa" w:w="864"/>
            <w:vAlign w:val="top"/>
          </w:tcPr>
          <w:p>
            <w:r/>
            <w:r>
              <w:rPr>
                <w:rFonts w:ascii="Aptos" w:hAnsi="Aptos"/>
                <w:b w:val="0"/>
                <w:sz w:val="17"/>
              </w:rPr>
              <w:t>4</w:t>
            </w:r>
          </w:p>
        </w:tc>
        <w:tc>
          <w:tcPr>
            <w:tcW w:type="dxa" w:w="3168"/>
            <w:vAlign w:val="top"/>
          </w:tcPr>
          <w:p>
            <w:r/>
            <w:r>
              <w:rPr>
                <w:rFonts w:ascii="Aptos" w:hAnsi="Aptos"/>
                <w:b w:val="0"/>
                <w:sz w:val="17"/>
              </w:rPr>
              <w:t>Workspace runtime compilation</w:t>
            </w:r>
          </w:p>
        </w:tc>
        <w:tc>
          <w:tcPr>
            <w:tcW w:type="dxa" w:w="5040"/>
            <w:vAlign w:val="top"/>
          </w:tcPr>
          <w:p>
            <w:r/>
            <w:r>
              <w:rPr>
                <w:rFonts w:ascii="Aptos" w:hAnsi="Aptos"/>
                <w:b w:val="0"/>
                <w:sz w:val="17"/>
              </w:rPr>
              <w:t>Custom capabilities without a physically separate stack per customer</w:t>
            </w:r>
          </w:p>
        </w:tc>
      </w:tr>
      <w:tr>
        <w:tc>
          <w:tcPr>
            <w:tcW w:type="dxa" w:w="864"/>
            <w:vAlign w:val="top"/>
          </w:tcPr>
          <w:p>
            <w:r/>
            <w:r>
              <w:rPr>
                <w:rFonts w:ascii="Aptos" w:hAnsi="Aptos"/>
                <w:b w:val="0"/>
                <w:sz w:val="17"/>
              </w:rPr>
              <w:t>5</w:t>
            </w:r>
          </w:p>
        </w:tc>
        <w:tc>
          <w:tcPr>
            <w:tcW w:type="dxa" w:w="3168"/>
            <w:vAlign w:val="top"/>
          </w:tcPr>
          <w:p>
            <w:r/>
            <w:r>
              <w:rPr>
                <w:rFonts w:ascii="Aptos" w:hAnsi="Aptos"/>
                <w:b w:val="0"/>
                <w:sz w:val="17"/>
              </w:rPr>
              <w:t>Evidence / freshness / source authority</w:t>
            </w:r>
          </w:p>
        </w:tc>
        <w:tc>
          <w:tcPr>
            <w:tcW w:type="dxa" w:w="5040"/>
            <w:vAlign w:val="top"/>
          </w:tcPr>
          <w:p>
            <w:r/>
            <w:r>
              <w:rPr>
                <w:rFonts w:ascii="Aptos" w:hAnsi="Aptos"/>
                <w:b w:val="0"/>
                <w:sz w:val="17"/>
              </w:rPr>
              <w:t>Makes reasoning auditable and current rather than merely fluent</w:t>
            </w:r>
          </w:p>
        </w:tc>
      </w:tr>
      <w:tr>
        <w:tc>
          <w:tcPr>
            <w:tcW w:type="dxa" w:w="864"/>
            <w:vAlign w:val="top"/>
          </w:tcPr>
          <w:p>
            <w:r/>
            <w:r>
              <w:rPr>
                <w:rFonts w:ascii="Aptos" w:hAnsi="Aptos"/>
                <w:b w:val="0"/>
                <w:sz w:val="17"/>
              </w:rPr>
              <w:t>6</w:t>
            </w:r>
          </w:p>
        </w:tc>
        <w:tc>
          <w:tcPr>
            <w:tcW w:type="dxa" w:w="3168"/>
            <w:vAlign w:val="top"/>
          </w:tcPr>
          <w:p>
            <w:r/>
            <w:r>
              <w:rPr>
                <w:rFonts w:ascii="Aptos" w:hAnsi="Aptos"/>
                <w:b w:val="0"/>
                <w:sz w:val="17"/>
              </w:rPr>
              <w:t>Action safety and approval model</w:t>
            </w:r>
          </w:p>
        </w:tc>
        <w:tc>
          <w:tcPr>
            <w:tcW w:type="dxa" w:w="5040"/>
            <w:vAlign w:val="top"/>
          </w:tcPr>
          <w:p>
            <w:r/>
            <w:r>
              <w:rPr>
                <w:rFonts w:ascii="Aptos" w:hAnsi="Aptos"/>
                <w:b w:val="0"/>
                <w:sz w:val="17"/>
              </w:rPr>
              <w:t>Converts insights into controlled work</w:t>
            </w:r>
          </w:p>
        </w:tc>
      </w:tr>
      <w:tr>
        <w:tc>
          <w:tcPr>
            <w:tcW w:type="dxa" w:w="864"/>
            <w:vAlign w:val="top"/>
          </w:tcPr>
          <w:p>
            <w:r/>
            <w:r>
              <w:rPr>
                <w:rFonts w:ascii="Aptos" w:hAnsi="Aptos"/>
                <w:b w:val="0"/>
                <w:sz w:val="17"/>
              </w:rPr>
              <w:t>7</w:t>
            </w:r>
          </w:p>
        </w:tc>
        <w:tc>
          <w:tcPr>
            <w:tcW w:type="dxa" w:w="3168"/>
            <w:vAlign w:val="top"/>
          </w:tcPr>
          <w:p>
            <w:r/>
            <w:r>
              <w:rPr>
                <w:rFonts w:ascii="Aptos" w:hAnsi="Aptos"/>
                <w:b w:val="0"/>
                <w:sz w:val="17"/>
              </w:rPr>
              <w:t>Deployment knowledge and evaluation corpus</w:t>
            </w:r>
          </w:p>
        </w:tc>
        <w:tc>
          <w:tcPr>
            <w:tcW w:type="dxa" w:w="5040"/>
            <w:vAlign w:val="top"/>
          </w:tcPr>
          <w:p>
            <w:r/>
            <w:r>
              <w:rPr>
                <w:rFonts w:ascii="Aptos" w:hAnsi="Aptos"/>
                <w:b w:val="0"/>
                <w:sz w:val="17"/>
              </w:rPr>
              <w:t>Real pilots create the operational knowledge that prompts alone cannot copy</w:t>
            </w:r>
          </w:p>
        </w:tc>
      </w:tr>
    </w:tbl>
    <w:p/>
    <w:p>
      <w:pPr>
        <w:pStyle w:val="Heading1"/>
      </w:pPr>
      <w:r>
        <w:t>8. Competition — Critical Map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440"/>
            <w:shd w:fill="E7E6E6"/>
            <w:vAlign w:val="center"/>
          </w:tcPr>
          <w:p>
            <w:r/>
            <w:r>
              <w:rPr>
                <w:rFonts w:ascii="Aptos" w:hAnsi="Aptos"/>
                <w:b/>
                <w:sz w:val="16"/>
              </w:rPr>
              <w:t>Competitor</w:t>
            </w:r>
          </w:p>
        </w:tc>
        <w:tc>
          <w:tcPr>
            <w:tcW w:type="dxa" w:w="3096"/>
            <w:shd w:fill="E7E6E6"/>
            <w:vAlign w:val="center"/>
          </w:tcPr>
          <w:p>
            <w:r/>
            <w:r>
              <w:rPr>
                <w:rFonts w:ascii="Aptos" w:hAnsi="Aptos"/>
                <w:b/>
                <w:sz w:val="16"/>
              </w:rPr>
              <w:t>What It Already Does</w:t>
            </w:r>
          </w:p>
        </w:tc>
        <w:tc>
          <w:tcPr>
            <w:tcW w:type="dxa" w:w="2520"/>
            <w:shd w:fill="E7E6E6"/>
            <w:vAlign w:val="center"/>
          </w:tcPr>
          <w:p>
            <w:r/>
            <w:r>
              <w:rPr>
                <w:rFonts w:ascii="Aptos" w:hAnsi="Aptos"/>
                <w:b/>
                <w:sz w:val="16"/>
              </w:rPr>
              <w:t>Threat</w:t>
            </w:r>
          </w:p>
        </w:tc>
        <w:tc>
          <w:tcPr>
            <w:tcW w:type="dxa" w:w="2880"/>
            <w:shd w:fill="E7E6E6"/>
            <w:vAlign w:val="center"/>
          </w:tcPr>
          <w:p>
            <w:r/>
            <w:r>
              <w:rPr>
                <w:rFonts w:ascii="Aptos" w:hAnsi="Aptos"/>
                <w:b/>
                <w:sz w:val="16"/>
              </w:rPr>
              <w:t>Flow Response</w:t>
            </w:r>
          </w:p>
        </w:tc>
      </w:tr>
      <w:tr>
        <w:tc>
          <w:tcPr>
            <w:tcW w:type="dxa" w:w="1440"/>
            <w:vAlign w:val="top"/>
          </w:tcPr>
          <w:p>
            <w:r/>
            <w:r>
              <w:rPr>
                <w:rFonts w:ascii="Aptos" w:hAnsi="Aptos"/>
                <w:b w:val="0"/>
                <w:sz w:val="16"/>
              </w:rPr>
              <w:t>Odoo 19</w:t>
            </w:r>
          </w:p>
        </w:tc>
        <w:tc>
          <w:tcPr>
            <w:tcW w:type="dxa" w:w="3096"/>
            <w:vAlign w:val="top"/>
          </w:tcPr>
          <w:p>
            <w:r/>
            <w:r>
              <w:rPr>
                <w:rFonts w:ascii="Aptos" w:hAnsi="Aptos"/>
                <w:b w:val="0"/>
                <w:sz w:val="16"/>
              </w:rPr>
              <w:t>Integrated ERP, hundreds of apps, AI agents, low public price</w:t>
            </w:r>
          </w:p>
        </w:tc>
        <w:tc>
          <w:tcPr>
            <w:tcW w:type="dxa" w:w="2520"/>
            <w:vAlign w:val="top"/>
          </w:tcPr>
          <w:p>
            <w:r/>
            <w:r>
              <w:rPr>
                <w:rFonts w:ascii="Aptos" w:hAnsi="Aptos"/>
                <w:b w:val="0"/>
                <w:sz w:val="16"/>
              </w:rPr>
              <w:t>Incumbent SMB suite; broad app ecosystem</w:t>
            </w:r>
          </w:p>
        </w:tc>
        <w:tc>
          <w:tcPr>
            <w:tcW w:type="dxa" w:w="2880"/>
            <w:vAlign w:val="top"/>
          </w:tcPr>
          <w:p>
            <w:r/>
            <w:r>
              <w:rPr>
                <w:rFonts w:ascii="Aptos" w:hAnsi="Aptos"/>
                <w:b w:val="0"/>
                <w:sz w:val="16"/>
              </w:rPr>
              <w:t>Flow must be more intelligent and simpler, not broader</w:t>
            </w:r>
          </w:p>
        </w:tc>
      </w:tr>
      <w:tr>
        <w:tc>
          <w:tcPr>
            <w:tcW w:type="dxa" w:w="1440"/>
            <w:vAlign w:val="top"/>
          </w:tcPr>
          <w:p>
            <w:r/>
            <w:r>
              <w:rPr>
                <w:rFonts w:ascii="Aptos" w:hAnsi="Aptos"/>
                <w:b w:val="0"/>
                <w:sz w:val="16"/>
              </w:rPr>
              <w:t>Zoho One</w:t>
            </w:r>
          </w:p>
        </w:tc>
        <w:tc>
          <w:tcPr>
            <w:tcW w:type="dxa" w:w="3096"/>
            <w:vAlign w:val="top"/>
          </w:tcPr>
          <w:p>
            <w:r/>
            <w:r>
              <w:rPr>
                <w:rFonts w:ascii="Aptos" w:hAnsi="Aptos"/>
                <w:b w:val="0"/>
                <w:sz w:val="16"/>
              </w:rPr>
              <w:t>45+ apps, unified business suite, AI/BI, 75,000+ businesses</w:t>
            </w:r>
          </w:p>
        </w:tc>
        <w:tc>
          <w:tcPr>
            <w:tcW w:type="dxa" w:w="2520"/>
            <w:vAlign w:val="top"/>
          </w:tcPr>
          <w:p>
            <w:r/>
            <w:r>
              <w:rPr>
                <w:rFonts w:ascii="Aptos" w:hAnsi="Aptos"/>
                <w:b w:val="0"/>
                <w:sz w:val="16"/>
              </w:rPr>
              <w:t>Very strong all-in-one SMB value proposition</w:t>
            </w:r>
          </w:p>
        </w:tc>
        <w:tc>
          <w:tcPr>
            <w:tcW w:type="dxa" w:w="2880"/>
            <w:vAlign w:val="top"/>
          </w:tcPr>
          <w:p>
            <w:r/>
            <w:r>
              <w:rPr>
                <w:rFonts w:ascii="Aptos" w:hAnsi="Aptos"/>
                <w:b w:val="0"/>
                <w:sz w:val="16"/>
              </w:rPr>
              <w:t>Avoid generic 'business OS' positioning</w:t>
            </w:r>
          </w:p>
        </w:tc>
      </w:tr>
      <w:tr>
        <w:tc>
          <w:tcPr>
            <w:tcW w:type="dxa" w:w="1440"/>
            <w:vAlign w:val="top"/>
          </w:tcPr>
          <w:p>
            <w:r/>
            <w:r>
              <w:rPr>
                <w:rFonts w:ascii="Aptos" w:hAnsi="Aptos"/>
                <w:b w:val="0"/>
                <w:sz w:val="16"/>
              </w:rPr>
              <w:t>Productive</w:t>
            </w:r>
          </w:p>
        </w:tc>
        <w:tc>
          <w:tcPr>
            <w:tcW w:type="dxa" w:w="3096"/>
            <w:vAlign w:val="top"/>
          </w:tcPr>
          <w:p>
            <w:r/>
            <w:r>
              <w:rPr>
                <w:rFonts w:ascii="Aptos" w:hAnsi="Aptos"/>
                <w:b w:val="0"/>
                <w:sz w:val="16"/>
              </w:rPr>
              <w:t>Agency projects, resources, finances, profitability, AI reporting</w:t>
            </w:r>
          </w:p>
        </w:tc>
        <w:tc>
          <w:tcPr>
            <w:tcW w:type="dxa" w:w="2520"/>
            <w:vAlign w:val="top"/>
          </w:tcPr>
          <w:p>
            <w:r/>
            <w:r>
              <w:rPr>
                <w:rFonts w:ascii="Aptos" w:hAnsi="Aptos"/>
                <w:b w:val="0"/>
                <w:sz w:val="16"/>
              </w:rPr>
              <w:t>Direct vertical competitor</w:t>
            </w:r>
          </w:p>
        </w:tc>
        <w:tc>
          <w:tcPr>
            <w:tcW w:type="dxa" w:w="2880"/>
            <w:vAlign w:val="top"/>
          </w:tcPr>
          <w:p>
            <w:r/>
            <w:r>
              <w:rPr>
                <w:rFonts w:ascii="Aptos" w:hAnsi="Aptos"/>
                <w:b w:val="0"/>
                <w:sz w:val="16"/>
              </w:rPr>
              <w:t>Flow needs cross-functional reasoning + governed actions</w:t>
            </w:r>
          </w:p>
        </w:tc>
      </w:tr>
      <w:tr>
        <w:tc>
          <w:tcPr>
            <w:tcW w:type="dxa" w:w="1440"/>
            <w:vAlign w:val="top"/>
          </w:tcPr>
          <w:p>
            <w:r/>
            <w:r>
              <w:rPr>
                <w:rFonts w:ascii="Aptos" w:hAnsi="Aptos"/>
                <w:b w:val="0"/>
                <w:sz w:val="16"/>
              </w:rPr>
              <w:t>Scoro</w:t>
            </w:r>
          </w:p>
        </w:tc>
        <w:tc>
          <w:tcPr>
            <w:tcW w:type="dxa" w:w="3096"/>
            <w:vAlign w:val="top"/>
          </w:tcPr>
          <w:p>
            <w:r/>
            <w:r>
              <w:rPr>
                <w:rFonts w:ascii="Aptos" w:hAnsi="Aptos"/>
                <w:b w:val="0"/>
                <w:sz w:val="16"/>
              </w:rPr>
              <w:t>PSA for agencies/consultancies/IT; operational context + AI</w:t>
            </w:r>
          </w:p>
        </w:tc>
        <w:tc>
          <w:tcPr>
            <w:tcW w:type="dxa" w:w="2520"/>
            <w:vAlign w:val="top"/>
          </w:tcPr>
          <w:p>
            <w:r/>
            <w:r>
              <w:rPr>
                <w:rFonts w:ascii="Aptos" w:hAnsi="Aptos"/>
                <w:b w:val="0"/>
                <w:sz w:val="16"/>
              </w:rPr>
              <w:t>Direct vertical competitor</w:t>
            </w:r>
          </w:p>
        </w:tc>
        <w:tc>
          <w:tcPr>
            <w:tcW w:type="dxa" w:w="2880"/>
            <w:vAlign w:val="top"/>
          </w:tcPr>
          <w:p>
            <w:r/>
            <w:r>
              <w:rPr>
                <w:rFonts w:ascii="Aptos" w:hAnsi="Aptos"/>
                <w:b w:val="0"/>
                <w:sz w:val="16"/>
              </w:rPr>
              <w:t>Must win on intelligence depth and workflow compression</w:t>
            </w:r>
          </w:p>
        </w:tc>
      </w:tr>
      <w:tr>
        <w:tc>
          <w:tcPr>
            <w:tcW w:type="dxa" w:w="1440"/>
            <w:vAlign w:val="top"/>
          </w:tcPr>
          <w:p>
            <w:r/>
            <w:r>
              <w:rPr>
                <w:rFonts w:ascii="Aptos" w:hAnsi="Aptos"/>
                <w:b w:val="0"/>
                <w:sz w:val="16"/>
              </w:rPr>
              <w:t>Teamwork</w:t>
            </w:r>
          </w:p>
        </w:tc>
        <w:tc>
          <w:tcPr>
            <w:tcW w:type="dxa" w:w="3096"/>
            <w:vAlign w:val="top"/>
          </w:tcPr>
          <w:p>
            <w:r/>
            <w:r>
              <w:rPr>
                <w:rFonts w:ascii="Aptos" w:hAnsi="Aptos"/>
                <w:b w:val="0"/>
                <w:sz w:val="16"/>
              </w:rPr>
              <w:t>Agency project/resource/profitability + AI</w:t>
            </w:r>
          </w:p>
        </w:tc>
        <w:tc>
          <w:tcPr>
            <w:tcW w:type="dxa" w:w="2520"/>
            <w:vAlign w:val="top"/>
          </w:tcPr>
          <w:p>
            <w:r/>
            <w:r>
              <w:rPr>
                <w:rFonts w:ascii="Aptos" w:hAnsi="Aptos"/>
                <w:b w:val="0"/>
                <w:sz w:val="16"/>
              </w:rPr>
              <w:t>Low entry price and mature workflows</w:t>
            </w:r>
          </w:p>
        </w:tc>
        <w:tc>
          <w:tcPr>
            <w:tcW w:type="dxa" w:w="2880"/>
            <w:vAlign w:val="top"/>
          </w:tcPr>
          <w:p>
            <w:r/>
            <w:r>
              <w:rPr>
                <w:rFonts w:ascii="Aptos" w:hAnsi="Aptos"/>
                <w:b w:val="0"/>
                <w:sz w:val="16"/>
              </w:rPr>
              <w:t>Flow cannot win merely on task/project UX</w:t>
            </w:r>
          </w:p>
        </w:tc>
      </w:tr>
      <w:tr>
        <w:tc>
          <w:tcPr>
            <w:tcW w:type="dxa" w:w="1440"/>
            <w:vAlign w:val="top"/>
          </w:tcPr>
          <w:p>
            <w:r/>
            <w:r>
              <w:rPr>
                <w:rFonts w:ascii="Aptos" w:hAnsi="Aptos"/>
                <w:b w:val="0"/>
                <w:sz w:val="16"/>
              </w:rPr>
              <w:t>Microsoft Dynamics</w:t>
            </w:r>
          </w:p>
        </w:tc>
        <w:tc>
          <w:tcPr>
            <w:tcW w:type="dxa" w:w="3096"/>
            <w:vAlign w:val="top"/>
          </w:tcPr>
          <w:p>
            <w:r/>
            <w:r>
              <w:rPr>
                <w:rFonts w:ascii="Aptos" w:hAnsi="Aptos"/>
                <w:b w:val="0"/>
                <w:sz w:val="16"/>
              </w:rPr>
              <w:t>Agentic ERP/CRM across finance, sales, supply chain</w:t>
            </w:r>
          </w:p>
        </w:tc>
        <w:tc>
          <w:tcPr>
            <w:tcW w:type="dxa" w:w="2520"/>
            <w:vAlign w:val="top"/>
          </w:tcPr>
          <w:p>
            <w:r/>
            <w:r>
              <w:rPr>
                <w:rFonts w:ascii="Aptos" w:hAnsi="Aptos"/>
                <w:b w:val="0"/>
                <w:sz w:val="16"/>
              </w:rPr>
              <w:t>Enterprise incumbent</w:t>
            </w:r>
          </w:p>
        </w:tc>
        <w:tc>
          <w:tcPr>
            <w:tcW w:type="dxa" w:w="2880"/>
            <w:vAlign w:val="top"/>
          </w:tcPr>
          <w:p>
            <w:r/>
            <w:r>
              <w:rPr>
                <w:rFonts w:ascii="Aptos" w:hAnsi="Aptos"/>
                <w:b w:val="0"/>
                <w:sz w:val="16"/>
              </w:rPr>
              <w:t>Future overlay must work where Microsoft already exists</w:t>
            </w:r>
          </w:p>
        </w:tc>
      </w:tr>
      <w:tr>
        <w:tc>
          <w:tcPr>
            <w:tcW w:type="dxa" w:w="1440"/>
            <w:vAlign w:val="top"/>
          </w:tcPr>
          <w:p>
            <w:r/>
            <w:r>
              <w:rPr>
                <w:rFonts w:ascii="Aptos" w:hAnsi="Aptos"/>
                <w:b w:val="0"/>
                <w:sz w:val="16"/>
              </w:rPr>
              <w:t>SAP Joule</w:t>
            </w:r>
          </w:p>
        </w:tc>
        <w:tc>
          <w:tcPr>
            <w:tcW w:type="dxa" w:w="3096"/>
            <w:vAlign w:val="top"/>
          </w:tcPr>
          <w:p>
            <w:r/>
            <w:r>
              <w:rPr>
                <w:rFonts w:ascii="Aptos" w:hAnsi="Aptos"/>
                <w:b w:val="0"/>
                <w:sz w:val="16"/>
              </w:rPr>
              <w:t>Agents grounded in SAP data/process/semantics</w:t>
            </w:r>
          </w:p>
        </w:tc>
        <w:tc>
          <w:tcPr>
            <w:tcW w:type="dxa" w:w="2520"/>
            <w:vAlign w:val="top"/>
          </w:tcPr>
          <w:p>
            <w:r/>
            <w:r>
              <w:rPr>
                <w:rFonts w:ascii="Aptos" w:hAnsi="Aptos"/>
                <w:b w:val="0"/>
                <w:sz w:val="16"/>
              </w:rPr>
              <w:t>Enterprise benchmark</w:t>
            </w:r>
          </w:p>
        </w:tc>
        <w:tc>
          <w:tcPr>
            <w:tcW w:type="dxa" w:w="2880"/>
            <w:vAlign w:val="top"/>
          </w:tcPr>
          <w:p>
            <w:r/>
            <w:r>
              <w:rPr>
                <w:rFonts w:ascii="Aptos" w:hAnsi="Aptos"/>
                <w:b w:val="0"/>
                <w:sz w:val="16"/>
              </w:rPr>
              <w:t>Flow's enterprise advantage must be neutrality and lower complexity</w:t>
            </w:r>
          </w:p>
        </w:tc>
      </w:tr>
      <w:tr>
        <w:tc>
          <w:tcPr>
            <w:tcW w:type="dxa" w:w="1440"/>
            <w:vAlign w:val="top"/>
          </w:tcPr>
          <w:p>
            <w:r/>
            <w:r>
              <w:rPr>
                <w:rFonts w:ascii="Aptos" w:hAnsi="Aptos"/>
                <w:b w:val="0"/>
                <w:sz w:val="16"/>
              </w:rPr>
              <w:t>Oracle Fusion</w:t>
            </w:r>
          </w:p>
        </w:tc>
        <w:tc>
          <w:tcPr>
            <w:tcW w:type="dxa" w:w="3096"/>
            <w:vAlign w:val="top"/>
          </w:tcPr>
          <w:p>
            <w:r/>
            <w:r>
              <w:rPr>
                <w:rFonts w:ascii="Aptos" w:hAnsi="Aptos"/>
                <w:b w:val="0"/>
                <w:sz w:val="16"/>
              </w:rPr>
              <w:t>Agent teams with approvals, governance and transaction execution</w:t>
            </w:r>
          </w:p>
        </w:tc>
        <w:tc>
          <w:tcPr>
            <w:tcW w:type="dxa" w:w="2520"/>
            <w:vAlign w:val="top"/>
          </w:tcPr>
          <w:p>
            <w:r/>
            <w:r>
              <w:rPr>
                <w:rFonts w:ascii="Aptos" w:hAnsi="Aptos"/>
                <w:b w:val="0"/>
                <w:sz w:val="16"/>
              </w:rPr>
              <w:t>Enterprise benchmark</w:t>
            </w:r>
          </w:p>
        </w:tc>
        <w:tc>
          <w:tcPr>
            <w:tcW w:type="dxa" w:w="2880"/>
            <w:vAlign w:val="top"/>
          </w:tcPr>
          <w:p>
            <w:r/>
            <w:r>
              <w:rPr>
                <w:rFonts w:ascii="Aptos" w:hAnsi="Aptos"/>
                <w:b w:val="0"/>
                <w:sz w:val="16"/>
              </w:rPr>
              <w:t>Safe action execution is table stakes at enterprise level</w:t>
            </w:r>
          </w:p>
        </w:tc>
      </w:tr>
      <w:tr>
        <w:tc>
          <w:tcPr>
            <w:tcW w:type="dxa" w:w="1440"/>
            <w:vAlign w:val="top"/>
          </w:tcPr>
          <w:p>
            <w:r/>
            <w:r>
              <w:rPr>
                <w:rFonts w:ascii="Aptos" w:hAnsi="Aptos"/>
                <w:b w:val="0"/>
                <w:sz w:val="16"/>
              </w:rPr>
              <w:t>Palantir</w:t>
            </w:r>
          </w:p>
        </w:tc>
        <w:tc>
          <w:tcPr>
            <w:tcW w:type="dxa" w:w="3096"/>
            <w:vAlign w:val="top"/>
          </w:tcPr>
          <w:p>
            <w:r/>
            <w:r>
              <w:rPr>
                <w:rFonts w:ascii="Aptos" w:hAnsi="Aptos"/>
                <w:b w:val="0"/>
                <w:sz w:val="16"/>
              </w:rPr>
              <w:t>Ontology combining data, logic, action, security + agents</w:t>
            </w:r>
          </w:p>
        </w:tc>
        <w:tc>
          <w:tcPr>
            <w:tcW w:type="dxa" w:w="2520"/>
            <w:vAlign w:val="top"/>
          </w:tcPr>
          <w:p>
            <w:r/>
            <w:r>
              <w:rPr>
                <w:rFonts w:ascii="Aptos" w:hAnsi="Aptos"/>
                <w:b w:val="0"/>
                <w:sz w:val="16"/>
              </w:rPr>
              <w:t>Closest architectural analogue</w:t>
            </w:r>
          </w:p>
        </w:tc>
        <w:tc>
          <w:tcPr>
            <w:tcW w:type="dxa" w:w="2880"/>
            <w:vAlign w:val="top"/>
          </w:tcPr>
          <w:p>
            <w:r/>
            <w:r>
              <w:rPr>
                <w:rFonts w:ascii="Aptos" w:hAnsi="Aptos"/>
                <w:b w:val="0"/>
                <w:sz w:val="16"/>
              </w:rPr>
              <w:t>Flow must focus on accessibility and SMB/mid-market economics</w:t>
            </w:r>
          </w:p>
        </w:tc>
      </w:tr>
    </w:tbl>
    <w:p/>
    <w:p>
      <w:pPr>
        <w:pStyle w:val="Heading1"/>
      </w:pPr>
      <w:r>
        <w:t>9. Investor Story — 90 Seconds</w:t>
      </w:r>
    </w:p>
    <w:p>
      <w:r>
        <w:t>Growing service businesses usually run sales in one tool, projects in another, time in another, invoices in accounting software, and management reporting in spreadsheets. The founder can see data, but not the business as one system. Flow changes that. We are building a governed AI business operating layer that connects sales, delivery, finance and people data into one business context. Its BLM can answer cross-functional questions, but it does not invent authoritative numbers: calculations come from versioned business logic, data access is permissioned, and actions are approval-gated. We are starting with software and digital agencies because their workflows are measurable and repeatable. Our first proof is not a chatbot. It is an end-to-end agency operation: from lead and proposal to project margin, scope creep, invoice and management action. The long-term platform can power Flow's own native operating system and later sit above existing ERPs. We are raising capital to turn the working technical foundation into a repeatable commercial product, prove paid adoption, and build the first external adapter.</w:t>
      </w:r>
    </w:p>
    <w:p>
      <w:pPr>
        <w:pStyle w:val="Heading1"/>
      </w:pPr>
      <w:r>
        <w:t>10. Investor Deck — Recommended 12-Slide Narrative</w:t>
      </w:r>
    </w:p>
    <w:tbl>
      <w:tblPr>
        <w:tblStyle w:val="TableGrid"/>
        <w:tblW w:type="auto" w:w="0"/>
        <w:jc w:val="center"/>
        <w:tblLook w:firstColumn="1" w:firstRow="1" w:lastColumn="0" w:lastRow="0" w:noHBand="0" w:noVBand="1" w:val="04A0"/>
      </w:tblPr>
      <w:tblGrid>
        <w:gridCol w:w="5083"/>
        <w:gridCol w:w="5083"/>
      </w:tblGrid>
      <w:tr>
        <w:tc>
          <w:tcPr>
            <w:tcW w:type="dxa" w:w="2232"/>
            <w:shd w:fill="E7E6E6"/>
            <w:vAlign w:val="center"/>
          </w:tcPr>
          <w:p>
            <w:r/>
            <w:r>
              <w:rPr>
                <w:rFonts w:ascii="Aptos" w:hAnsi="Aptos"/>
                <w:b/>
                <w:sz w:val="17"/>
              </w:rPr>
              <w:t>Slide</w:t>
            </w:r>
          </w:p>
        </w:tc>
        <w:tc>
          <w:tcPr>
            <w:tcW w:type="dxa" w:w="7776"/>
            <w:shd w:fill="E7E6E6"/>
            <w:vAlign w:val="center"/>
          </w:tcPr>
          <w:p>
            <w:r/>
            <w:r>
              <w:rPr>
                <w:rFonts w:ascii="Aptos" w:hAnsi="Aptos"/>
                <w:b/>
                <w:sz w:val="17"/>
              </w:rPr>
              <w:t>Purpose</w:t>
            </w:r>
          </w:p>
        </w:tc>
      </w:tr>
      <w:tr>
        <w:tc>
          <w:tcPr>
            <w:tcW w:type="dxa" w:w="2232"/>
            <w:vAlign w:val="top"/>
          </w:tcPr>
          <w:p>
            <w:r/>
            <w:r>
              <w:rPr>
                <w:rFonts w:ascii="Aptos" w:hAnsi="Aptos"/>
                <w:b w:val="0"/>
                <w:sz w:val="17"/>
              </w:rPr>
              <w:t>1. Company</w:t>
            </w:r>
          </w:p>
        </w:tc>
        <w:tc>
          <w:tcPr>
            <w:tcW w:type="dxa" w:w="7776"/>
            <w:vAlign w:val="top"/>
          </w:tcPr>
          <w:p>
            <w:r/>
            <w:r>
              <w:rPr>
                <w:rFonts w:ascii="Aptos" w:hAnsi="Aptos"/>
                <w:b w:val="0"/>
                <w:sz w:val="17"/>
              </w:rPr>
              <w:t>Flow — governed AI that understands and operates the business.</w:t>
            </w:r>
          </w:p>
        </w:tc>
      </w:tr>
      <w:tr>
        <w:tc>
          <w:tcPr>
            <w:tcW w:type="dxa" w:w="2232"/>
            <w:vAlign w:val="top"/>
          </w:tcPr>
          <w:p>
            <w:r/>
            <w:r>
              <w:rPr>
                <w:rFonts w:ascii="Aptos" w:hAnsi="Aptos"/>
                <w:b w:val="0"/>
                <w:sz w:val="17"/>
              </w:rPr>
              <w:t>2. Pain</w:t>
            </w:r>
          </w:p>
        </w:tc>
        <w:tc>
          <w:tcPr>
            <w:tcW w:type="dxa" w:w="7776"/>
            <w:vAlign w:val="top"/>
          </w:tcPr>
          <w:p>
            <w:r/>
            <w:r>
              <w:rPr>
                <w:rFonts w:ascii="Aptos" w:hAnsi="Aptos"/>
                <w:b w:val="0"/>
                <w:sz w:val="17"/>
              </w:rPr>
              <w:t>A growing agency is split across CRM, PM, time, accounting, docs and spreadsheets; management still reconstructs reality manually.</w:t>
            </w:r>
          </w:p>
        </w:tc>
      </w:tr>
      <w:tr>
        <w:tc>
          <w:tcPr>
            <w:tcW w:type="dxa" w:w="2232"/>
            <w:vAlign w:val="top"/>
          </w:tcPr>
          <w:p>
            <w:r/>
            <w:r>
              <w:rPr>
                <w:rFonts w:ascii="Aptos" w:hAnsi="Aptos"/>
                <w:b w:val="0"/>
                <w:sz w:val="17"/>
              </w:rPr>
              <w:t>3. Product</w:t>
            </w:r>
          </w:p>
        </w:tc>
        <w:tc>
          <w:tcPr>
            <w:tcW w:type="dxa" w:w="7776"/>
            <w:vAlign w:val="top"/>
          </w:tcPr>
          <w:p>
            <w:r/>
            <w:r>
              <w:rPr>
                <w:rFonts w:ascii="Aptos" w:hAnsi="Aptos"/>
                <w:b w:val="0"/>
                <w:sz w:val="17"/>
              </w:rPr>
              <w:t>Show the live demo early. One founder question should cross sales + delivery + finance and produce evidence-backed action.</w:t>
            </w:r>
          </w:p>
        </w:tc>
      </w:tr>
      <w:tr>
        <w:tc>
          <w:tcPr>
            <w:tcW w:type="dxa" w:w="2232"/>
            <w:vAlign w:val="top"/>
          </w:tcPr>
          <w:p>
            <w:r/>
            <w:r>
              <w:rPr>
                <w:rFonts w:ascii="Aptos" w:hAnsi="Aptos"/>
                <w:b w:val="0"/>
                <w:sz w:val="17"/>
              </w:rPr>
              <w:t>4. Wedge</w:t>
            </w:r>
          </w:p>
        </w:tc>
        <w:tc>
          <w:tcPr>
            <w:tcW w:type="dxa" w:w="7776"/>
            <w:vAlign w:val="top"/>
          </w:tcPr>
          <w:p>
            <w:r/>
            <w:r>
              <w:rPr>
                <w:rFonts w:ascii="Aptos" w:hAnsi="Aptos"/>
                <w:b w:val="0"/>
                <w:sz w:val="17"/>
              </w:rPr>
              <w:t>Software/digital agencies and professional-service firms. Explain the repeated lead-to-cash workflow.</w:t>
            </w:r>
          </w:p>
        </w:tc>
      </w:tr>
      <w:tr>
        <w:tc>
          <w:tcPr>
            <w:tcW w:type="dxa" w:w="2232"/>
            <w:vAlign w:val="top"/>
          </w:tcPr>
          <w:p>
            <w:r/>
            <w:r>
              <w:rPr>
                <w:rFonts w:ascii="Aptos" w:hAnsi="Aptos"/>
                <w:b w:val="0"/>
                <w:sz w:val="17"/>
              </w:rPr>
              <w:t>5. How It Works</w:t>
            </w:r>
          </w:p>
        </w:tc>
        <w:tc>
          <w:tcPr>
            <w:tcW w:type="dxa" w:w="7776"/>
            <w:vAlign w:val="top"/>
          </w:tcPr>
          <w:p>
            <w:r/>
            <w:r>
              <w:rPr>
                <w:rFonts w:ascii="Aptos" w:hAnsi="Aptos"/>
                <w:b w:val="0"/>
                <w:sz w:val="17"/>
              </w:rPr>
              <w:t>Business semantics → workspace context → BLM reasoning → deterministic logic → Action Wall.</w:t>
            </w:r>
          </w:p>
        </w:tc>
      </w:tr>
      <w:tr>
        <w:tc>
          <w:tcPr>
            <w:tcW w:type="dxa" w:w="2232"/>
            <w:vAlign w:val="top"/>
          </w:tcPr>
          <w:p>
            <w:r/>
            <w:r>
              <w:rPr>
                <w:rFonts w:ascii="Aptos" w:hAnsi="Aptos"/>
                <w:b w:val="0"/>
                <w:sz w:val="17"/>
              </w:rPr>
              <w:t>6. Why Now</w:t>
            </w:r>
          </w:p>
        </w:tc>
        <w:tc>
          <w:tcPr>
            <w:tcW w:type="dxa" w:w="7776"/>
            <w:vAlign w:val="top"/>
          </w:tcPr>
          <w:p>
            <w:r/>
            <w:r>
              <w:rPr>
                <w:rFonts w:ascii="Aptos" w:hAnsi="Aptos"/>
                <w:b w:val="0"/>
                <w:sz w:val="17"/>
              </w:rPr>
              <w:t>AI capital and agentic business applications are accelerating; customers now expect natural-language software, but trust and operational execution remain unresolved. [R2][R13][R14][R15]</w:t>
            </w:r>
          </w:p>
        </w:tc>
      </w:tr>
      <w:tr>
        <w:tc>
          <w:tcPr>
            <w:tcW w:type="dxa" w:w="2232"/>
            <w:vAlign w:val="top"/>
          </w:tcPr>
          <w:p>
            <w:r/>
            <w:r>
              <w:rPr>
                <w:rFonts w:ascii="Aptos" w:hAnsi="Aptos"/>
                <w:b w:val="0"/>
                <w:sz w:val="17"/>
              </w:rPr>
              <w:t>7. Competition</w:t>
            </w:r>
          </w:p>
        </w:tc>
        <w:tc>
          <w:tcPr>
            <w:tcW w:type="dxa" w:w="7776"/>
            <w:vAlign w:val="top"/>
          </w:tcPr>
          <w:p>
            <w:r/>
            <w:r>
              <w:rPr>
                <w:rFonts w:ascii="Aptos" w:hAnsi="Aptos"/>
                <w:b w:val="0"/>
                <w:sz w:val="17"/>
              </w:rPr>
              <w:t>Show direct vertical tools plus incumbent ERPs. Explicitly acknowledge overlap and show the narrow gap Flow owns.</w:t>
            </w:r>
          </w:p>
        </w:tc>
      </w:tr>
      <w:tr>
        <w:tc>
          <w:tcPr>
            <w:tcW w:type="dxa" w:w="2232"/>
            <w:vAlign w:val="top"/>
          </w:tcPr>
          <w:p>
            <w:r/>
            <w:r>
              <w:rPr>
                <w:rFonts w:ascii="Aptos" w:hAnsi="Aptos"/>
                <w:b w:val="0"/>
                <w:sz w:val="17"/>
              </w:rPr>
              <w:t>8. Proof</w:t>
            </w:r>
          </w:p>
        </w:tc>
        <w:tc>
          <w:tcPr>
            <w:tcW w:type="dxa" w:w="7776"/>
            <w:vAlign w:val="top"/>
          </w:tcPr>
          <w:p>
            <w:r/>
            <w:r>
              <w:rPr>
                <w:rFonts w:ascii="Aptos" w:hAnsi="Aptos"/>
                <w:b w:val="0"/>
                <w:sz w:val="17"/>
              </w:rPr>
              <w:t>What is coded today: auth/RLS, semantics, BLM runtime, real provider integration, logic registry, deterministic engine, workspace runtime compiler, Supabase persistence.</w:t>
            </w:r>
          </w:p>
        </w:tc>
      </w:tr>
      <w:tr>
        <w:tc>
          <w:tcPr>
            <w:tcW w:type="dxa" w:w="2232"/>
            <w:vAlign w:val="top"/>
          </w:tcPr>
          <w:p>
            <w:r/>
            <w:r>
              <w:rPr>
                <w:rFonts w:ascii="Aptos" w:hAnsi="Aptos"/>
                <w:b w:val="0"/>
                <w:sz w:val="17"/>
              </w:rPr>
              <w:t>9. Business Model</w:t>
            </w:r>
          </w:p>
        </w:tc>
        <w:tc>
          <w:tcPr>
            <w:tcW w:type="dxa" w:w="7776"/>
            <w:vAlign w:val="top"/>
          </w:tcPr>
          <w:p>
            <w:r/>
            <w:r>
              <w:rPr>
                <w:rFonts w:ascii="Aptos" w:hAnsi="Aptos"/>
                <w:b w:val="0"/>
                <w:sz w:val="17"/>
              </w:rPr>
              <w:t>Workspace subscription + capability tier + usage + onboarding/implementation; enterprise governance later.</w:t>
            </w:r>
          </w:p>
        </w:tc>
      </w:tr>
      <w:tr>
        <w:tc>
          <w:tcPr>
            <w:tcW w:type="dxa" w:w="2232"/>
            <w:vAlign w:val="top"/>
          </w:tcPr>
          <w:p>
            <w:r/>
            <w:r>
              <w:rPr>
                <w:rFonts w:ascii="Aptos" w:hAnsi="Aptos"/>
                <w:b w:val="0"/>
                <w:sz w:val="17"/>
              </w:rPr>
              <w:t>10. GTM</w:t>
            </w:r>
          </w:p>
        </w:tc>
        <w:tc>
          <w:tcPr>
            <w:tcW w:type="dxa" w:w="7776"/>
            <w:vAlign w:val="top"/>
          </w:tcPr>
          <w:p>
            <w:r/>
            <w:r>
              <w:rPr>
                <w:rFonts w:ascii="Aptos" w:hAnsi="Aptos"/>
                <w:b w:val="0"/>
                <w:sz w:val="17"/>
              </w:rPr>
              <w:t>Founder-led design partners → agency communities/partners → repeatable vertical sales → adjacent service industries.</w:t>
            </w:r>
          </w:p>
        </w:tc>
      </w:tr>
      <w:tr>
        <w:tc>
          <w:tcPr>
            <w:tcW w:type="dxa" w:w="2232"/>
            <w:vAlign w:val="top"/>
          </w:tcPr>
          <w:p>
            <w:r/>
            <w:r>
              <w:rPr>
                <w:rFonts w:ascii="Aptos" w:hAnsi="Aptos"/>
                <w:b w:val="0"/>
                <w:sz w:val="17"/>
              </w:rPr>
              <w:t>11. Milestones / Use of Funds</w:t>
            </w:r>
          </w:p>
        </w:tc>
        <w:tc>
          <w:tcPr>
            <w:tcW w:type="dxa" w:w="7776"/>
            <w:vAlign w:val="top"/>
          </w:tcPr>
          <w:p>
            <w:r/>
            <w:r>
              <w:rPr>
                <w:rFonts w:ascii="Aptos" w:hAnsi="Aptos"/>
                <w:b w:val="0"/>
                <w:sz w:val="17"/>
              </w:rPr>
              <w:t>12–18 month plan with paid pilots, product hardening, Action Wall, observability, one external adapter.</w:t>
            </w:r>
          </w:p>
        </w:tc>
      </w:tr>
      <w:tr>
        <w:tc>
          <w:tcPr>
            <w:tcW w:type="dxa" w:w="2232"/>
            <w:vAlign w:val="top"/>
          </w:tcPr>
          <w:p>
            <w:r/>
            <w:r>
              <w:rPr>
                <w:rFonts w:ascii="Aptos" w:hAnsi="Aptos"/>
                <w:b w:val="0"/>
                <w:sz w:val="17"/>
              </w:rPr>
              <w:t>12. Team + Ask</w:t>
            </w:r>
          </w:p>
        </w:tc>
        <w:tc>
          <w:tcPr>
            <w:tcW w:type="dxa" w:w="7776"/>
            <w:vAlign w:val="top"/>
          </w:tcPr>
          <w:p>
            <w:r/>
            <w:r>
              <w:rPr>
                <w:rFonts w:ascii="Aptos" w:hAnsi="Aptos"/>
                <w:b w:val="0"/>
                <w:sz w:val="17"/>
              </w:rPr>
              <w:t>Why this team can execute; capital requested; next measurable financing milestone.</w:t>
            </w:r>
          </w:p>
        </w:tc>
      </w:tr>
    </w:tbl>
    <w:p/>
    <w:p>
      <w:pPr>
        <w:pStyle w:val="Heading1"/>
      </w:pPr>
      <w:r>
        <w:t>11. What Investors Will Actually Test</w:t>
      </w:r>
    </w:p>
    <w:p>
      <w:pPr>
        <w:pStyle w:val="ListNumber"/>
      </w:pPr>
      <w:r>
        <w:t>Is the product live or a scripted prototype?</w:t>
      </w:r>
    </w:p>
    <w:p>
      <w:pPr>
        <w:pStyle w:val="ListNumber"/>
      </w:pPr>
      <w:r>
        <w:t>Can a non-founder use it without hand-holding?</w:t>
      </w:r>
    </w:p>
    <w:p>
      <w:pPr>
        <w:pStyle w:val="ListNumber"/>
      </w:pPr>
      <w:r>
        <w:t>Does BLM outperform a normal LLM when given the same business data?</w:t>
      </w:r>
    </w:p>
    <w:p>
      <w:pPr>
        <w:pStyle w:val="ListNumber"/>
      </w:pPr>
      <w:r>
        <w:t>Can the founder prove where a number came from?</w:t>
      </w:r>
    </w:p>
    <w:p>
      <w:pPr>
        <w:pStyle w:val="ListNumber"/>
      </w:pPr>
      <w:r>
        <w:t>Can Flow detect missing information instead of hallucinating?</w:t>
      </w:r>
    </w:p>
    <w:p>
      <w:pPr>
        <w:pStyle w:val="ListNumber"/>
      </w:pPr>
      <w:r>
        <w:t>What happens when the AI is wrong?</w:t>
      </w:r>
    </w:p>
    <w:p>
      <w:pPr>
        <w:pStyle w:val="ListNumber"/>
      </w:pPr>
      <w:r>
        <w:t>What actions can it take and who approves them?</w:t>
      </w:r>
    </w:p>
    <w:p>
      <w:pPr>
        <w:pStyle w:val="ListNumber"/>
      </w:pPr>
      <w:r>
        <w:t>How long does onboarding a new agency take?</w:t>
      </w:r>
    </w:p>
    <w:p>
      <w:pPr>
        <w:pStyle w:val="ListNumber"/>
      </w:pPr>
      <w:r>
        <w:t>Which workflows are standardized versus custom consulting?</w:t>
      </w:r>
    </w:p>
    <w:p>
      <w:pPr>
        <w:pStyle w:val="ListNumber"/>
      </w:pPr>
      <w:r>
        <w:t>How much gross margin is lost to LLM/API costs?</w:t>
      </w:r>
    </w:p>
    <w:p>
      <w:pPr>
        <w:pStyle w:val="ListNumber"/>
      </w:pPr>
      <w:r>
        <w:t>Why will Productive/Scoro/Teamwork/Odoo not copy the visible features?</w:t>
      </w:r>
    </w:p>
    <w:p>
      <w:pPr>
        <w:pStyle w:val="ListNumber"/>
      </w:pPr>
      <w:r>
        <w:t>What becomes more valuable after the 20th customer?</w:t>
      </w:r>
    </w:p>
    <w:p>
      <w:pPr>
        <w:pStyle w:val="ListNumber"/>
      </w:pPr>
      <w:r>
        <w:t>What is the first external system Flow can integrate with?</w:t>
      </w:r>
    </w:p>
    <w:p>
      <w:pPr>
        <w:pStyle w:val="ListNumber"/>
      </w:pPr>
      <w:r>
        <w:t>Who is the economic buyer: founder, COO, CFO, operations lead?</w:t>
      </w:r>
    </w:p>
    <w:p>
      <w:pPr>
        <w:pStyle w:val="ListNumber"/>
      </w:pPr>
      <w:r>
        <w:t>What concrete business result justifies switching or adding Flow?</w:t>
      </w:r>
    </w:p>
    <w:p>
      <w:pPr>
        <w:pStyle w:val="Heading1"/>
      </w:pPr>
      <w:r>
        <w:t>12. Fundraising Readiness Gate</w:t>
      </w:r>
    </w:p>
    <w:p>
      <w:r>
        <w:t>Before a serious institutional pitch, the product should demonstrate at least:</w:t>
      </w:r>
    </w:p>
    <w:p>
      <w:pPr>
        <w:pStyle w:val="ListBullet"/>
      </w:pPr>
      <w:r>
        <w:t>A deployed frontend that an investor can use.</w:t>
      </w:r>
    </w:p>
    <w:p>
      <w:pPr>
        <w:pStyle w:val="ListBullet"/>
      </w:pPr>
      <w:r>
        <w:t>One realistic persistent agency workspace, not hard-coded demo data.</w:t>
      </w:r>
    </w:p>
    <w:p>
      <w:pPr>
        <w:pStyle w:val="ListBullet"/>
      </w:pPr>
      <w:r>
        <w:t>At least 5 end-to-end workflows.</w:t>
      </w:r>
    </w:p>
    <w:p>
      <w:pPr>
        <w:pStyle w:val="ListBullet"/>
      </w:pPr>
      <w:r>
        <w:t>At least 3 cross-domain BLM questions with evidence and deterministic calculations.</w:t>
      </w:r>
    </w:p>
    <w:p>
      <w:pPr>
        <w:pStyle w:val="ListBullet"/>
      </w:pPr>
      <w:r>
        <w:t>One safe write action requiring approval.</w:t>
      </w:r>
    </w:p>
    <w:p>
      <w:pPr>
        <w:pStyle w:val="ListBullet"/>
      </w:pPr>
      <w:r>
        <w:t>Clear tenant isolation and audit trail.</w:t>
      </w:r>
    </w:p>
    <w:p>
      <w:pPr>
        <w:pStyle w:val="ListBullet"/>
      </w:pPr>
      <w:r>
        <w:t>Three external design-partner conversations, ideally one live pilot.</w:t>
      </w:r>
    </w:p>
    <w:p>
      <w:pPr>
        <w:pStyle w:val="ListBullet"/>
      </w:pPr>
      <w:r>
        <w:t>A 5-minute demo that never depends on explaining architecture before value is visible.</w:t>
      </w:r>
    </w:p>
    <w:p>
      <w:pPr>
        <w:pStyle w:val="Heading1"/>
      </w:pPr>
      <w:r>
        <w:t>13. Pitch Discipline</w:t>
      </w:r>
    </w:p>
    <w:p>
      <w:r>
        <w:t>Sequoia's guidance starts with company purpose, problem, solution, why now, market, competition, business model, team, financials and vision. YC similarly emphasizes a simple explanation of what the company does, a visible demo, a credible market, traction and a clear fundraising ask. The pitch should create enough conviction for the next meeting, not attempt to explain the entire architecture in one sitting. [R4][R5]</w:t>
      </w:r>
    </w:p>
    <w:p>
      <w:pPr>
        <w:pStyle w:val="Heading1"/>
      </w:pPr>
      <w:r>
        <w:t>14. Final Strategic Decision</w:t>
      </w:r>
    </w:p>
    <w:p>
      <w:pPr>
        <w:pStyle w:val="Callout"/>
      </w:pPr>
      <w:r>
        <w:t>Build the investor product now — but build it as a vertical commercial proof, not as the front-end skin of an unfinished universal platform.</w:t>
      </w:r>
    </w:p>
    <w:p>
      <w:r>
        <w:t>The existing internal report itself estimates the technical foundation as substantially advanced but the complete commercial product at roughly half complete. That is the correct moment to stop expanding breadth and force the platform through one real operating environment. The next value jump comes from proof: real business, real data, real problem, verified result, measurable business value.</w:t>
      </w:r>
    </w:p>
    <w:p>
      <w:pPr>
        <w:pStyle w:val="Heading1"/>
      </w:pPr>
      <w:r>
        <w:t>Research References</w:t>
      </w:r>
    </w:p>
    <w:p>
      <w:r>
        <w:t>External references are included for market context. Market-size estimates and funding benchmarks are third-party data, not guarantees.</w:t>
      </w:r>
    </w:p>
    <w:p>
      <w:r>
        <w:rPr>
          <w:b/>
        </w:rPr>
        <w:t xml:space="preserve">[R1] </w:t>
      </w:r>
      <w:r>
        <w:t>Internal source: Flow by Intellignce — Technical, Product, Market &amp; Valuation Report, status 12 Aug 2026.</w:t>
      </w:r>
    </w:p>
    <w:p>
      <w:r>
        <w:rPr>
          <w:b/>
        </w:rPr>
        <w:t xml:space="preserve">[R2] </w:t>
      </w:r>
      <w:r>
        <w:t>Carta, State of Private Markets: Q1 2026 — &gt;60% of Q1 venture capital on Carta went to AI companies; early-stage SaaS valuations remained elevated but selective.</w:t>
      </w:r>
    </w:p>
    <w:p>
      <w:r>
        <w:rPr>
          <w:b/>
        </w:rPr>
        <w:t xml:space="preserve">[R3] </w:t>
      </w:r>
      <w:r>
        <w:t>Carta, VC Startup Fundraising Benchmarks From 1000 Rounds, July 2026 — software seed median roughly $24.3M valuation on $4.1M raised in the cited U.S. dataset.</w:t>
      </w:r>
    </w:p>
    <w:p>
      <w:r>
        <w:rPr>
          <w:b/>
        </w:rPr>
        <w:t xml:space="preserve">[R4] </w:t>
      </w:r>
      <w:r>
        <w:t>Sequoia Capital, Writing a Business Plan — purpose, problem, solution, why now, market, competition, business model, team, financials, vision.</w:t>
      </w:r>
    </w:p>
    <w:p>
      <w:r>
        <w:rPr>
          <w:b/>
        </w:rPr>
        <w:t xml:space="preserve">[R5] </w:t>
      </w:r>
      <w:r>
        <w:t>Y Combinator, How to Pitch Your Company; A Guide to Seed Fundraising; Demo Day presentation guidance.</w:t>
      </w:r>
    </w:p>
    <w:p>
      <w:r>
        <w:rPr>
          <w:b/>
        </w:rPr>
        <w:t xml:space="preserve">[R6] </w:t>
      </w:r>
      <w:r>
        <w:t>Odoo 19 documentation, AI agents — configurable agents with topics, tools, sources and multiple supported LLMs.</w:t>
      </w:r>
    </w:p>
    <w:p>
      <w:r>
        <w:rPr>
          <w:b/>
        </w:rPr>
        <w:t xml:space="preserve">[R7] </w:t>
      </w:r>
      <w:r>
        <w:t>Odoo Pricing — public Standard $24.90/user/month and Custom $49/user/month on annual billing at time of research.</w:t>
      </w:r>
    </w:p>
    <w:p>
      <w:r>
        <w:rPr>
          <w:b/>
        </w:rPr>
        <w:t xml:space="preserve">[R8] </w:t>
      </w:r>
      <w:r>
        <w:t>Zoho One — 'The Operating System for Business', 45+ apps and 75,000+ businesses shown on the public site.</w:t>
      </w:r>
    </w:p>
    <w:p>
      <w:r>
        <w:rPr>
          <w:b/>
        </w:rPr>
        <w:t xml:space="preserve">[R9] </w:t>
      </w:r>
      <w:r>
        <w:t>Productive — agency/professional-services platform covering resources, projects, finances, profitability and AI reporting.</w:t>
      </w:r>
    </w:p>
    <w:p>
      <w:r>
        <w:rPr>
          <w:b/>
        </w:rPr>
        <w:t xml:space="preserve">[R10] </w:t>
      </w:r>
      <w:r>
        <w:t>Scoro — AI-powered professional services automation for consultancies, agencies, IT and similar firms.</w:t>
      </w:r>
    </w:p>
    <w:p>
      <w:r>
        <w:rPr>
          <w:b/>
        </w:rPr>
        <w:t xml:space="preserve">[R11] </w:t>
      </w:r>
      <w:r>
        <w:t>Teamwork.com — agency project/resource/profitability platform; public annual pricing starts at $9.99/user/month for Basics at time of research.</w:t>
      </w:r>
    </w:p>
    <w:p>
      <w:r>
        <w:rPr>
          <w:b/>
        </w:rPr>
        <w:t xml:space="preserve">[R12] </w:t>
      </w:r>
      <w:r>
        <w:t>Palantir Foundry Ontology documentation — operational layer unifying data, logic, actions and security; agents can read/write ontology data through scoped permissions.</w:t>
      </w:r>
    </w:p>
    <w:p>
      <w:r>
        <w:rPr>
          <w:b/>
        </w:rPr>
        <w:t xml:space="preserve">[R13] </w:t>
      </w:r>
      <w:r>
        <w:t>Microsoft Dynamics 365 2026 release wave 1 — agentic capabilities across finance, sales, supply chain, Business Central and Power Platform.</w:t>
      </w:r>
    </w:p>
    <w:p>
      <w:r>
        <w:rPr>
          <w:b/>
        </w:rPr>
        <w:t xml:space="preserve">[R14] </w:t>
      </w:r>
      <w:r>
        <w:t>SAP, New Joule Studio, May 2026 — agents grounded in live SAP data, processes and business semantics with governance.</w:t>
      </w:r>
    </w:p>
    <w:p>
      <w:r>
        <w:rPr>
          <w:b/>
        </w:rPr>
        <w:t xml:space="preserve">[R15] </w:t>
      </w:r>
      <w:r>
        <w:t>Oracle, Fusion Agentic Applications / AI Agent Studio, 2026 — specialized agent teams with workflows, approvals, governance and transactional execution.</w:t>
      </w:r>
    </w:p>
    <w:p>
      <w:r>
        <w:rPr>
          <w:b/>
        </w:rPr>
        <w:t xml:space="preserve">[R16] </w:t>
      </w:r>
      <w:r>
        <w:t>Grand View Research, Professional Services Automation Software Market — estimate: $16.4B in 2026, $40.3B by 2033.</w:t>
      </w:r>
    </w:p>
    <w:p>
      <w:r>
        <w:rPr>
          <w:b/>
        </w:rPr>
        <w:t xml:space="preserve">[R17] </w:t>
      </w:r>
      <w:r>
        <w:t>Grand View Research, ERP Software Market — estimate: $83.2B in 2026, $157.1B by 2033.</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Confidential — Flow investor preparation — 12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360" w:right="360"/>
    </w:pPr>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