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MASTER SERVICES AGREEMENT</w:t>
      </w:r>
    </w:p>
    <w:p>
      <w:pPr>
        <w:spacing w:after="300"/>
        <w:jc w:val="center"/>
      </w:pPr>
      <w:r>
        <w:rPr>
          <w:color w:val="555555"/>
          <w:sz w:val="20"/>
          <w:szCs w:val="20"/>
        </w:rPr>
        <w:t xml:space="preserve">Contract No. MSA-2026-00417</w:t>
      </w:r>
    </w:p>
    <w:p>
      <w:pPr>
        <w:spacing w:after="160"/>
      </w:pPr>
      <w:r>
        <w:t xml:space="preserve">This Master Services Agreement ("Agreement") is entered into as of March 3, 2026 (the "Effective Date"), by and between the parties identified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8EEF7" w:color="auto" w:val="clear"/>
          </w:tcPr>
          <w:p>
            <w:r>
              <w:rPr>
                <w:b/>
                <w:bCs/>
                <w:sz w:val="20"/>
                <w:szCs w:val="20"/>
              </w:rPr>
              <w:t xml:space="preserve">CLIENT</w:t>
            </w:r>
          </w:p>
        </w:tc>
        <w:tc>
          <w:tcPr>
            <w:tcW w:type="dxa" w:w="4675"/>
            <w:shd w:fill="E8EEF7" w:color="auto" w:val="clear"/>
          </w:tcPr>
          <w:p>
            <w:r>
              <w:rPr>
                <w:b/>
                <w:bCs/>
                <w:sz w:val="20"/>
                <w:szCs w:val="20"/>
              </w:rPr>
              <w:t xml:space="preserve">VENDOR</w:t>
            </w:r>
          </w:p>
        </w:tc>
      </w:tr>
      <w:tr>
        <w:tc>
          <w:tcPr>
            <w:tcW w:type="dxa" w:w="4675"/>
          </w:tcPr>
          <w:p>
            <w:r>
              <w:rPr>
                <w:b/>
                <w:bCs/>
              </w:rPr>
              <w:t xml:space="preserve">Meridian Retail Holdings, Inc.</w:t>
            </w:r>
          </w:p>
          <w:p>
            <w:r>
              <w:t xml:space="preserve">One Harbor Plaza, Suite 1400</w:t>
            </w:r>
          </w:p>
          <w:p>
            <w:r>
              <w:t xml:space="preserve">Newark, NJ 07102, USA</w:t>
            </w:r>
          </w:p>
          <w:p>
            <w:r>
              <w:t xml:space="preserve">EIN: 22-4409981</w:t>
            </w:r>
          </w:p>
        </w:tc>
        <w:tc>
          <w:tcPr>
            <w:tcW w:type="dxa" w:w="4675"/>
          </w:tcPr>
          <w:p>
            <w:r>
              <w:rPr>
                <w:b/>
                <w:bCs/>
              </w:rPr>
              <w:t xml:space="preserve">Brightline Managed Services LLC</w:t>
            </w:r>
          </w:p>
          <w:p>
            <w:r>
              <w:t xml:space="preserve">88 Corcoran Way, Floor 6</w:t>
            </w:r>
          </w:p>
          <w:p>
            <w:r>
              <w:t xml:space="preserve">Austin, TX 78701, USA</w:t>
            </w:r>
          </w:p>
          <w:p>
            <w:r>
              <w:t xml:space="preserve">EIN: 74-1183522</w:t>
            </w:r>
          </w:p>
        </w:tc>
      </w:tr>
    </w:tbl>
    <w:p>
      <w:pPr>
        <w:spacing w:after="200" w:before="200"/>
      </w:pPr>
      <w:r>
        <w:rPr>
          <w:i/>
          <w:iCs/>
        </w:rPr>
        <w:t xml:space="preserve">Client and Vendor are each referred to individually as a “Party” and collectively as the “Parties.”</w:t>
      </w:r>
    </w:p>
    <w:p>
      <w:pPr>
        <w:pBdr>
          <w:bottom w:val="single" w:color="999999" w:sz="6"/>
        </w:pBdr>
        <w:spacing w:after="200"/>
      </w:pPr>
    </w:p>
    <w:p>
      <w:pPr>
        <w:pStyle w:val="Heading2"/>
        <w:spacing w:after="120" w:before="300"/>
      </w:pPr>
      <w:r>
        <w:rPr>
          <w:b/>
          <w:bCs/>
        </w:rPr>
        <w:t xml:space="preserve">1. Background and Purpose</w:t>
      </w:r>
    </w:p>
    <w:p>
      <w:pPr>
        <w:spacing w:after="160"/>
      </w:pPr>
      <w:r>
        <w:t xml:space="preserve">Client operates a multi-region e-commerce and retail logistics platform and requires ongoing infrastructure hosting, managed security monitoring, and application support services. Vendor is in the business of providing such managed IT services. The Parties wish to set out the terms under which Vendor will provide these services to Client.</w:t>
      </w:r>
    </w:p>
    <w:p>
      <w:pPr>
        <w:pStyle w:val="Heading2"/>
        <w:spacing w:after="120" w:before="300"/>
      </w:pPr>
      <w:r>
        <w:rPr>
          <w:b/>
          <w:bCs/>
        </w:rPr>
        <w:t xml:space="preserve">2. Term</w:t>
      </w:r>
    </w:p>
    <w:p>
      <w:pPr>
        <w:spacing w:after="140"/>
      </w:pPr>
      <w:r>
        <w:rPr>
          <w:b/>
          <w:bCs/>
        </w:rPr>
        <w:t xml:space="preserve">2.1  </w:t>
      </w:r>
      <w:r>
        <w:t xml:space="preserve">Initial Term. This Agreement commences on the Effective Date and continues for twenty-four (24) months, unless terminated earlier in accordance with Section 9 (“Initial Term”).</w:t>
      </w:r>
    </w:p>
    <w:p>
      <w:pPr>
        <w:spacing w:after="140"/>
      </w:pPr>
      <w:r>
        <w:rPr>
          <w:b/>
          <w:bCs/>
        </w:rPr>
        <w:t xml:space="preserve">2.2  </w:t>
      </w:r>
      <w:r>
        <w:t xml:space="preserve">Renewal. Upon expiration of the Initial Term, this Agreement will automatically renew for successive twelve (12) month periods (each, a “Renewal Term”) unless either Party provides written notice of non-renewal at least sixty (60) days prior to the end of the then-current term.</w:t>
      </w:r>
    </w:p>
    <w:p>
      <w:pPr>
        <w:pStyle w:val="Heading2"/>
        <w:spacing w:after="120" w:before="300"/>
      </w:pPr>
      <w:r>
        <w:rPr>
          <w:b/>
          <w:bCs/>
        </w:rPr>
        <w:t xml:space="preserve">3. Services and Statements of Work</w:t>
      </w:r>
    </w:p>
    <w:p>
      <w:pPr>
        <w:spacing w:after="140"/>
      </w:pPr>
      <w:r>
        <w:rPr>
          <w:b/>
          <w:bCs/>
        </w:rPr>
        <w:t xml:space="preserve">3.1  </w:t>
      </w:r>
      <w:r>
        <w:t xml:space="preserve">Vendor shall perform the services described in Exhibit A and in any Statement of Work (“SOW”) executed by both Parties under this Agreement (collectively, the “Services”).</w:t>
      </w:r>
    </w:p>
    <w:p>
      <w:pPr>
        <w:spacing w:after="140"/>
      </w:pPr>
      <w:r>
        <w:rPr>
          <w:b/>
          <w:bCs/>
        </w:rPr>
        <w:t xml:space="preserve">3.2  </w:t>
      </w:r>
      <w:r>
        <w:t xml:space="preserve">Each SOW will reference this Agreement, and in the event of a conflict between the terms of an SOW and this Agreement, this Agreement shall control unless the SOW expressly states otherwise.</w:t>
      </w:r>
    </w:p>
    <w:p>
      <w:pPr>
        <w:spacing w:after="140"/>
      </w:pPr>
      <w:r>
        <w:rPr>
          <w:b/>
          <w:bCs/>
        </w:rPr>
        <w:t xml:space="preserve">3.3  </w:t>
      </w:r>
      <w:r>
        <w:t xml:space="preserve">Vendor shall perform the Services in a professional and workmanlike manner consistent with generally accepted industry standards.</w:t>
      </w:r>
    </w:p>
    <w:p>
      <w:pPr>
        <w:pStyle w:val="Heading2"/>
        <w:spacing w:after="120" w:before="300"/>
      </w:pPr>
      <w:r>
        <w:rPr>
          <w:b/>
          <w:bCs/>
        </w:rPr>
        <w:t xml:space="preserve">4. Fees and Payment</w:t>
      </w:r>
    </w:p>
    <w:p>
      <w:pPr>
        <w:spacing w:after="140"/>
      </w:pPr>
      <w:r>
        <w:rPr>
          <w:b/>
          <w:bCs/>
        </w:rPr>
        <w:t xml:space="preserve">4.1  </w:t>
      </w:r>
      <w:r>
        <w:t xml:space="preserve">Client shall pay Vendor the fees set out in Exhibit A. Unless otherwise stated, fees for recurring Services are invoiced monthly in arrears.</w:t>
      </w:r>
    </w:p>
    <w:p>
      <w:pPr>
        <w:spacing w:after="140"/>
      </w:pPr>
      <w:r>
        <w:rPr>
          <w:b/>
          <w:bCs/>
        </w:rPr>
        <w:t xml:space="preserve">4.2  </w:t>
      </w:r>
      <w:r>
        <w:t xml:space="preserve">Vendor shall submit invoices to Client's accounts payable department at ap.invoices@meridianretail.example. Each invoice must reference this Agreement's contract number and, where applicable, the relevant SOW or purchase order number.</w:t>
      </w:r>
    </w:p>
    <w:p>
      <w:pPr>
        <w:spacing w:after="140"/>
      </w:pPr>
      <w:r>
        <w:rPr>
          <w:b/>
          <w:bCs/>
        </w:rPr>
        <w:t xml:space="preserve">4.3  </w:t>
      </w:r>
      <w:r>
        <w:t xml:space="preserve">Client shall pay all undisputed invoice amounts within thirty (30) days of the invoice date (“Net 30”). Amounts not paid when due shall accrue interest at the lesser of 1.5% per month or the maximum rate permitted by law.</w:t>
      </w:r>
    </w:p>
    <w:p>
      <w:pPr>
        <w:spacing w:after="140"/>
      </w:pPr>
      <w:r>
        <w:rPr>
          <w:b/>
          <w:bCs/>
        </w:rPr>
        <w:t xml:space="preserve">4.4  </w:t>
      </w:r>
      <w:r>
        <w:t xml:space="preserve">Client may dispute any invoiced amount in good faith by notifying Vendor in writing within fifteen (15) days of receipt, specifying the disputed amount and the basis for the dispute. The Parties shall cooperate to resolve any such dispute promptly.</w:t>
      </w:r>
    </w:p>
    <w:p>
      <w:pPr>
        <w:spacing w:after="140"/>
      </w:pPr>
      <w:r>
        <w:rPr>
          <w:b/>
          <w:bCs/>
        </w:rPr>
        <w:t xml:space="preserve">4.5  </w:t>
      </w:r>
      <w:r>
        <w:t xml:space="preserve">All fees are exclusive of applicable sales, use, VAT, or similar taxes, which shall be borne by Client except for taxes based on Vendor's net income.</w:t>
      </w:r>
    </w:p>
    <w:p>
      <w:pPr>
        <w:pStyle w:val="Heading2"/>
        <w:spacing w:after="120" w:before="300"/>
      </w:pPr>
      <w:r>
        <w:rPr>
          <w:b/>
          <w:bCs/>
        </w:rPr>
        <w:t xml:space="preserve">5. Exhibit A — Services and Pricing</w:t>
      </w:r>
    </w:p>
    <w:p>
      <w:pPr>
        <w:spacing w:after="160"/>
      </w:pPr>
      <w:r>
        <w:t xml:space="preserve">The following rates apply during the Initial Term. Rates for Renewal Terms may be adjusted by Vendor upon ninety (90) days' written notice, not to exceed the increase in the CPI-U for the preceding twelve (12) months plus three percent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E8EEF7" w:color="auto" w:val="clear"/>
          </w:tcPr>
          <w:p>
            <w:r>
              <w:rPr>
                <w:b/>
                <w:bCs/>
                <w:sz w:val="20"/>
                <w:szCs w:val="20"/>
              </w:rPr>
              <w:t xml:space="preserve">Service / Deliverable</w:t>
            </w:r>
          </w:p>
        </w:tc>
        <w:tc>
          <w:tcPr>
            <w:tcW w:type="dxa" w:w="2000"/>
            <w:shd w:fill="E8EEF7" w:color="auto" w:val="clear"/>
          </w:tcPr>
          <w:p>
            <w:r>
              <w:rPr>
                <w:b/>
                <w:bCs/>
                <w:sz w:val="20"/>
                <w:szCs w:val="20"/>
              </w:rPr>
              <w:t xml:space="preserve">Unit</w:t>
            </w:r>
          </w:p>
        </w:tc>
        <w:tc>
          <w:tcPr>
            <w:tcW w:type="dxa" w:w="2000"/>
            <w:shd w:fill="E8EEF7" w:color="auto" w:val="clear"/>
          </w:tcPr>
          <w:p>
            <w:r>
              <w:rPr>
                <w:b/>
                <w:bCs/>
                <w:sz w:val="20"/>
                <w:szCs w:val="20"/>
              </w:rPr>
              <w:t xml:space="preserve">Unit Rate (USD)</w:t>
            </w:r>
          </w:p>
        </w:tc>
        <w:tc>
          <w:tcPr>
            <w:tcW w:type="dxa" w:w="2000"/>
            <w:shd w:fill="E8EEF7" w:color="auto" w:val="clear"/>
          </w:tcPr>
          <w:p>
            <w:r>
              <w:rPr>
                <w:b/>
                <w:bCs/>
                <w:sz w:val="20"/>
                <w:szCs w:val="20"/>
              </w:rPr>
              <w:t xml:space="preserve">Est. Annual Qty</w:t>
            </w:r>
          </w:p>
        </w:tc>
      </w:tr>
      <w:tr>
        <w:tc>
          <w:tcPr>
            <w:tcW w:type="dxa" w:w="3350"/>
          </w:tcPr>
          <w:p>
            <w:r>
              <w:rPr>
                <w:b w:val="false"/>
                <w:bCs w:val="false"/>
                <w:sz w:val="20"/>
                <w:szCs w:val="20"/>
              </w:rPr>
              <w:t xml:space="preserve">Cloud Infrastructure Hosting (Tier 2)</w:t>
            </w:r>
          </w:p>
        </w:tc>
        <w:tc>
          <w:tcPr>
            <w:tcW w:type="dxa" w:w="2000"/>
          </w:tcPr>
          <w:p>
            <w:r>
              <w:rPr>
                <w:b w:val="false"/>
                <w:bCs w:val="false"/>
                <w:sz w:val="20"/>
                <w:szCs w:val="20"/>
              </w:rPr>
              <w:t xml:space="preserve">Per Month</w:t>
            </w:r>
          </w:p>
        </w:tc>
        <w:tc>
          <w:tcPr>
            <w:tcW w:type="dxa" w:w="2000"/>
          </w:tcPr>
          <w:p>
            <w:r>
              <w:rPr>
                <w:b w:val="false"/>
                <w:bCs w:val="false"/>
                <w:sz w:val="20"/>
                <w:szCs w:val="20"/>
              </w:rPr>
              <w:t xml:space="preserve">$4,250.00</w:t>
            </w:r>
          </w:p>
        </w:tc>
        <w:tc>
          <w:tcPr>
            <w:tcW w:type="dxa" w:w="2000"/>
          </w:tcPr>
          <w:p>
            <w:r>
              <w:rPr>
                <w:b w:val="false"/>
                <w:bCs w:val="false"/>
                <w:sz w:val="20"/>
                <w:szCs w:val="20"/>
              </w:rPr>
              <w:t xml:space="preserve">12</w:t>
            </w:r>
          </w:p>
        </w:tc>
      </w:tr>
      <w:tr>
        <w:tc>
          <w:tcPr>
            <w:tcW w:type="dxa" w:w="3350"/>
          </w:tcPr>
          <w:p>
            <w:r>
              <w:rPr>
                <w:b w:val="false"/>
                <w:bCs w:val="false"/>
                <w:sz w:val="20"/>
                <w:szCs w:val="20"/>
              </w:rPr>
              <w:t xml:space="preserve">Managed Security Monitoring (24x7 SOC)</w:t>
            </w:r>
          </w:p>
        </w:tc>
        <w:tc>
          <w:tcPr>
            <w:tcW w:type="dxa" w:w="2000"/>
          </w:tcPr>
          <w:p>
            <w:r>
              <w:rPr>
                <w:b w:val="false"/>
                <w:bCs w:val="false"/>
                <w:sz w:val="20"/>
                <w:szCs w:val="20"/>
              </w:rPr>
              <w:t xml:space="preserve">Per Month</w:t>
            </w:r>
          </w:p>
        </w:tc>
        <w:tc>
          <w:tcPr>
            <w:tcW w:type="dxa" w:w="2000"/>
          </w:tcPr>
          <w:p>
            <w:r>
              <w:rPr>
                <w:b w:val="false"/>
                <w:bCs w:val="false"/>
                <w:sz w:val="20"/>
                <w:szCs w:val="20"/>
              </w:rPr>
              <w:t xml:space="preserve">$1,975.00</w:t>
            </w:r>
          </w:p>
        </w:tc>
        <w:tc>
          <w:tcPr>
            <w:tcW w:type="dxa" w:w="2000"/>
          </w:tcPr>
          <w:p>
            <w:r>
              <w:rPr>
                <w:b w:val="false"/>
                <w:bCs w:val="false"/>
                <w:sz w:val="20"/>
                <w:szCs w:val="20"/>
              </w:rPr>
              <w:t xml:space="preserve">12</w:t>
            </w:r>
          </w:p>
        </w:tc>
      </w:tr>
      <w:tr>
        <w:tc>
          <w:tcPr>
            <w:tcW w:type="dxa" w:w="3350"/>
          </w:tcPr>
          <w:p>
            <w:r>
              <w:rPr>
                <w:b w:val="false"/>
                <w:bCs w:val="false"/>
                <w:sz w:val="20"/>
                <w:szCs w:val="20"/>
              </w:rPr>
              <w:t xml:space="preserve">Application Support &amp; Maintenance</w:t>
            </w:r>
          </w:p>
        </w:tc>
        <w:tc>
          <w:tcPr>
            <w:tcW w:type="dxa" w:w="2000"/>
          </w:tcPr>
          <w:p>
            <w:r>
              <w:rPr>
                <w:b w:val="false"/>
                <w:bCs w:val="false"/>
                <w:sz w:val="20"/>
                <w:szCs w:val="20"/>
              </w:rPr>
              <w:t xml:space="preserve">Per Hour</w:t>
            </w:r>
          </w:p>
        </w:tc>
        <w:tc>
          <w:tcPr>
            <w:tcW w:type="dxa" w:w="2000"/>
          </w:tcPr>
          <w:p>
            <w:r>
              <w:rPr>
                <w:b w:val="false"/>
                <w:bCs w:val="false"/>
                <w:sz w:val="20"/>
                <w:szCs w:val="20"/>
              </w:rPr>
              <w:t xml:space="preserve">$135.00</w:t>
            </w:r>
          </w:p>
        </w:tc>
        <w:tc>
          <w:tcPr>
            <w:tcW w:type="dxa" w:w="2000"/>
          </w:tcPr>
          <w:p>
            <w:r>
              <w:rPr>
                <w:b w:val="false"/>
                <w:bCs w:val="false"/>
                <w:sz w:val="20"/>
                <w:szCs w:val="20"/>
              </w:rPr>
              <w:t xml:space="preserve">400</w:t>
            </w:r>
          </w:p>
        </w:tc>
      </w:tr>
      <w:tr>
        <w:tc>
          <w:tcPr>
            <w:tcW w:type="dxa" w:w="3350"/>
          </w:tcPr>
          <w:p>
            <w:r>
              <w:rPr>
                <w:b w:val="false"/>
                <w:bCs w:val="false"/>
                <w:sz w:val="20"/>
                <w:szCs w:val="20"/>
              </w:rPr>
              <w:t xml:space="preserve">On-site Emergency Response</w:t>
            </w:r>
          </w:p>
        </w:tc>
        <w:tc>
          <w:tcPr>
            <w:tcW w:type="dxa" w:w="2000"/>
          </w:tcPr>
          <w:p>
            <w:r>
              <w:rPr>
                <w:b w:val="false"/>
                <w:bCs w:val="false"/>
                <w:sz w:val="20"/>
                <w:szCs w:val="20"/>
              </w:rPr>
              <w:t xml:space="preserve">Per Incident</w:t>
            </w:r>
          </w:p>
        </w:tc>
        <w:tc>
          <w:tcPr>
            <w:tcW w:type="dxa" w:w="2000"/>
          </w:tcPr>
          <w:p>
            <w:r>
              <w:rPr>
                <w:b w:val="false"/>
                <w:bCs w:val="false"/>
                <w:sz w:val="20"/>
                <w:szCs w:val="20"/>
              </w:rPr>
              <w:t xml:space="preserve">$600.00</w:t>
            </w:r>
          </w:p>
        </w:tc>
        <w:tc>
          <w:tcPr>
            <w:tcW w:type="dxa" w:w="2000"/>
          </w:tcPr>
          <w:p>
            <w:r>
              <w:rPr>
                <w:b w:val="false"/>
                <w:bCs w:val="false"/>
                <w:sz w:val="20"/>
                <w:szCs w:val="20"/>
              </w:rPr>
              <w:t xml:space="preserve">6</w:t>
            </w:r>
          </w:p>
        </w:tc>
      </w:tr>
      <w:tr>
        <w:tc>
          <w:tcPr>
            <w:tcW w:type="dxa" w:w="3350"/>
          </w:tcPr>
          <w:p>
            <w:r>
              <w:rPr>
                <w:b w:val="false"/>
                <w:bCs w:val="false"/>
                <w:sz w:val="20"/>
                <w:szCs w:val="20"/>
              </w:rPr>
              <w:t xml:space="preserve">Quarterly Business Review &amp; Reporting</w:t>
            </w:r>
          </w:p>
        </w:tc>
        <w:tc>
          <w:tcPr>
            <w:tcW w:type="dxa" w:w="2000"/>
          </w:tcPr>
          <w:p>
            <w:r>
              <w:rPr>
                <w:b w:val="false"/>
                <w:bCs w:val="false"/>
                <w:sz w:val="20"/>
                <w:szCs w:val="20"/>
              </w:rPr>
              <w:t xml:space="preserve">Per Quarter</w:t>
            </w:r>
          </w:p>
        </w:tc>
        <w:tc>
          <w:tcPr>
            <w:tcW w:type="dxa" w:w="2000"/>
          </w:tcPr>
          <w:p>
            <w:r>
              <w:rPr>
                <w:b w:val="false"/>
                <w:bCs w:val="false"/>
                <w:sz w:val="20"/>
                <w:szCs w:val="20"/>
              </w:rPr>
              <w:t xml:space="preserve">$0.00 (incl.)</w:t>
            </w:r>
          </w:p>
        </w:tc>
        <w:tc>
          <w:tcPr>
            <w:tcW w:type="dxa" w:w="2000"/>
          </w:tcPr>
          <w:p>
            <w:r>
              <w:rPr>
                <w:b w:val="false"/>
                <w:bCs w:val="false"/>
                <w:sz w:val="20"/>
                <w:szCs w:val="20"/>
              </w:rPr>
              <w:t xml:space="preserve">4</w:t>
            </w:r>
          </w:p>
        </w:tc>
      </w:tr>
    </w:tbl>
    <w:p>
      <w:pPr>
        <w:spacing w:after="160"/>
      </w:pPr>
      <w:r>
        <w:t xml:space="preserve"/>
      </w:r>
    </w:p>
    <w:p>
      <w:pPr>
        <w:pStyle w:val="Heading2"/>
        <w:spacing w:after="120" w:before="300"/>
      </w:pPr>
      <w:r>
        <w:rPr>
          <w:b/>
          <w:bCs/>
        </w:rPr>
        <w:t xml:space="preserve">6. Service Levels</w:t>
      </w:r>
    </w:p>
    <w:p>
      <w:pPr>
        <w:spacing w:after="140"/>
      </w:pPr>
      <w:r>
        <w:rPr>
          <w:b/>
          <w:bCs/>
        </w:rPr>
        <w:t xml:space="preserve">6.1  </w:t>
      </w:r>
      <w:r>
        <w:t xml:space="preserve">Vendor shall use commercially reasonable efforts to achieve 99.5% monthly uptime for hosted production systems, measured in accordance with Exhibit B (Service Level Addendum, if attached).</w:t>
      </w:r>
    </w:p>
    <w:p>
      <w:pPr>
        <w:spacing w:after="140"/>
      </w:pPr>
      <w:r>
        <w:rPr>
          <w:b/>
          <w:bCs/>
        </w:rPr>
        <w:t xml:space="preserve">6.2  </w:t>
      </w:r>
      <w:r>
        <w:t xml:space="preserve">Severity 1 incidents (production outage) shall be acknowledged within thirty (30) minutes and shall receive continuous effort toward resolution.</w:t>
      </w:r>
    </w:p>
    <w:p>
      <w:pPr>
        <w:spacing w:after="140"/>
      </w:pPr>
      <w:r>
        <w:rPr>
          <w:b/>
          <w:bCs/>
        </w:rPr>
        <w:t xml:space="preserve">6.3  </w:t>
      </w:r>
      <w:r>
        <w:t xml:space="preserve">For each full percentage point that monthly uptime falls below the 99.5% target, Client shall receive a service credit equal to 5% of that month's recurring fees, up to a maximum credit of 25% of that month's recurring fees.</w:t>
      </w:r>
    </w:p>
    <w:p>
      <w:pPr>
        <w:pStyle w:val="Heading2"/>
        <w:spacing w:after="120" w:before="300"/>
      </w:pPr>
      <w:r>
        <w:rPr>
          <w:b/>
          <w:bCs/>
        </w:rPr>
        <w:t xml:space="preserve">7. Confidentiality</w:t>
      </w:r>
    </w:p>
    <w:p>
      <w:pPr>
        <w:spacing w:after="140"/>
      </w:pPr>
      <w:r>
        <w:rPr>
          <w:b/>
          <w:bCs/>
        </w:rPr>
        <w:t xml:space="preserve">7.1  </w:t>
      </w:r>
      <w:r>
        <w:t xml:space="preserve">Each Party may disclose Confidential Information to the other in connection with this Agreement. The receiving Party shall use the disclosing Party's Confidential Information solely to perform its obligations under this Agreement and shall protect it using at least the same degree of care it uses for its own confidential information, and no less than a reasonable degree of care.</w:t>
      </w:r>
    </w:p>
    <w:p>
      <w:pPr>
        <w:spacing w:after="140"/>
      </w:pPr>
      <w:r>
        <w:rPr>
          <w:b/>
          <w:bCs/>
        </w:rPr>
        <w:t xml:space="preserve">7.2  </w:t>
      </w:r>
      <w:r>
        <w:t xml:space="preserve">Confidentiality obligations do not apply to information that is or becomes publicly available through no fault of the receiving Party, was already known to the receiving Party without restriction, or is independently developed without use of the disclosing Party's Confidential Information.</w:t>
      </w:r>
    </w:p>
    <w:p>
      <w:pPr>
        <w:pStyle w:val="Heading2"/>
        <w:spacing w:after="120" w:before="300"/>
      </w:pPr>
      <w:r>
        <w:rPr>
          <w:b/>
          <w:bCs/>
        </w:rPr>
        <w:t xml:space="preserve">8. Data Protection and Security</w:t>
      </w:r>
    </w:p>
    <w:p>
      <w:pPr>
        <w:spacing w:after="140"/>
      </w:pPr>
      <w:r>
        <w:rPr>
          <w:b/>
          <w:bCs/>
        </w:rPr>
        <w:t xml:space="preserve">8.1  </w:t>
      </w:r>
      <w:r>
        <w:t xml:space="preserve">Vendor shall maintain administrative, technical, and physical safeguards designed to protect Client Data against unauthorized access, use, or disclosure, consistent with the security requirements set out in Exhibit C, if attached.</w:t>
      </w:r>
    </w:p>
    <w:p>
      <w:pPr>
        <w:spacing w:after="140"/>
      </w:pPr>
      <w:r>
        <w:rPr>
          <w:b/>
          <w:bCs/>
        </w:rPr>
        <w:t xml:space="preserve">8.2  </w:t>
      </w:r>
      <w:r>
        <w:t xml:space="preserve">Vendor shall notify Client without undue delay, and in any event within forty-eight (48) hours, after becoming aware of any confirmed security incident affecting Client Data.</w:t>
      </w:r>
    </w:p>
    <w:p>
      <w:pPr>
        <w:spacing w:after="140"/>
      </w:pPr>
      <w:r>
        <w:rPr>
          <w:b/>
          <w:bCs/>
        </w:rPr>
        <w:t xml:space="preserve">8.3  </w:t>
      </w:r>
      <w:r>
        <w:t xml:space="preserve">Vendor shall not use Client Data for any purpose other than performing the Services, and shall not sell or share Client Data with third parties except as necessary to perform the Services or as required by law.</w:t>
      </w:r>
    </w:p>
    <w:p>
      <w:pPr>
        <w:pStyle w:val="Heading2"/>
        <w:spacing w:after="120" w:before="300"/>
      </w:pPr>
      <w:r>
        <w:rPr>
          <w:b/>
          <w:bCs/>
        </w:rPr>
        <w:t xml:space="preserve">9. Term Termination</w:t>
      </w:r>
    </w:p>
    <w:p>
      <w:pPr>
        <w:spacing w:after="140"/>
      </w:pPr>
      <w:r>
        <w:rPr>
          <w:b/>
          <w:bCs/>
        </w:rPr>
        <w:t xml:space="preserve">9.1  </w:t>
      </w:r>
      <w:r>
        <w:t xml:space="preserve">Termination for Convenience. Either Party may terminate this Agreement for convenience upon ninety (90) days' prior written notice.</w:t>
      </w:r>
    </w:p>
    <w:p>
      <w:pPr>
        <w:spacing w:after="140"/>
      </w:pPr>
      <w:r>
        <w:rPr>
          <w:b/>
          <w:bCs/>
        </w:rPr>
        <w:t xml:space="preserve">9.2  </w:t>
      </w:r>
      <w:r>
        <w:t xml:space="preserve">Termination for Cause. Either Party may terminate this Agreement immediately upon written notice if the other Party materially breaches this Agreement and fails to cure such breach within thirty (30) days after receiving written notice describing the breach.</w:t>
      </w:r>
    </w:p>
    <w:p>
      <w:pPr>
        <w:spacing w:after="140"/>
      </w:pPr>
      <w:r>
        <w:rPr>
          <w:b/>
          <w:bCs/>
        </w:rPr>
        <w:t xml:space="preserve">9.3  </w:t>
      </w:r>
      <w:r>
        <w:t xml:space="preserve">Effect of Termination. Upon termination, Client shall pay Vendor for all Services performed through the effective date of termination. Vendor shall provide reasonable transition assistance for up to sixty (60) days following termination, at Vendor's then-current time and materials rates unless otherwise agreed.</w:t>
      </w:r>
    </w:p>
    <w:p>
      <w:pPr>
        <w:pStyle w:val="Heading2"/>
        <w:spacing w:after="120" w:before="300"/>
      </w:pPr>
      <w:r>
        <w:rPr>
          <w:b/>
          <w:bCs/>
        </w:rPr>
        <w:t xml:space="preserve">10. Limitation of Liability</w:t>
      </w:r>
    </w:p>
    <w:p>
      <w:pPr>
        <w:spacing w:after="140"/>
      </w:pPr>
      <w:r>
        <w:rPr>
          <w:b/>
          <w:bCs/>
        </w:rPr>
        <w:t xml:space="preserve">10.1  </w:t>
      </w:r>
      <w:r>
        <w:t xml:space="preserve">Except for breaches of Section 7 (Confidentiality), infringement of intellectual property rights, or a Party's indemnification obligations, in no event shall either Party's aggregate liability arising out of this Agreement exceed the total fees paid or payable by Client under this Agreement in the twelve (12) months preceding the event giving rise to the claim.</w:t>
      </w:r>
    </w:p>
    <w:p>
      <w:pPr>
        <w:spacing w:after="140"/>
      </w:pPr>
      <w:r>
        <w:rPr>
          <w:b/>
          <w:bCs/>
        </w:rPr>
        <w:t xml:space="preserve">10.2  </w:t>
      </w:r>
      <w:r>
        <w:t xml:space="preserve">Neither Party shall be liable for any indirect, incidental, special, consequential, or punitive damages, including loss of profits or loss of data, even if advised of the possibility of such damages.</w:t>
      </w:r>
    </w:p>
    <w:p>
      <w:pPr>
        <w:pStyle w:val="Heading2"/>
        <w:spacing w:after="120" w:before="300"/>
      </w:pPr>
      <w:r>
        <w:rPr>
          <w:b/>
          <w:bCs/>
        </w:rPr>
        <w:t xml:space="preserve">11. Indemnification</w:t>
      </w:r>
    </w:p>
    <w:p>
      <w:pPr>
        <w:spacing w:after="140"/>
      </w:pPr>
      <w:r>
        <w:rPr>
          <w:b/>
          <w:bCs/>
        </w:rPr>
        <w:t xml:space="preserve">11.1  </w:t>
      </w:r>
      <w:r>
        <w:t xml:space="preserve">Vendor shall indemnify, defend, and hold harmless Client from third-party claims arising from Vendor's gross negligence, willful misconduct, or infringement of a third party's intellectual property rights in connection with the Services.</w:t>
      </w:r>
    </w:p>
    <w:p>
      <w:pPr>
        <w:spacing w:after="140"/>
      </w:pPr>
      <w:r>
        <w:rPr>
          <w:b/>
          <w:bCs/>
        </w:rPr>
        <w:t xml:space="preserve">11.2  </w:t>
      </w:r>
      <w:r>
        <w:t xml:space="preserve">Client shall indemnify, defend, and hold harmless Vendor from third-party claims arising from Client's misuse of the Services or breach of this Agreement.</w:t>
      </w:r>
    </w:p>
    <w:p>
      <w:pPr>
        <w:pStyle w:val="Heading2"/>
        <w:spacing w:after="120" w:before="300"/>
      </w:pPr>
      <w:r>
        <w:rPr>
          <w:b/>
          <w:bCs/>
        </w:rPr>
        <w:t xml:space="preserve">12. Insurance</w:t>
      </w:r>
    </w:p>
    <w:p>
      <w:pPr>
        <w:spacing w:after="160"/>
      </w:pPr>
      <w:r>
        <w:t xml:space="preserve">Vendor shall maintain, at its own expense, the following minimum insurance coverage throughout the Term:</w:t>
      </w:r>
    </w:p>
    <w:p>
      <w:pPr>
        <w:pStyle w:val="ListParagraph"/>
        <w:numPr>
          <w:ilvl w:val="0"/>
          <w:numId w:val="2"/>
        </w:numPr>
      </w:pPr>
      <w:r>
        <w:t xml:space="preserve">Commercial General Liability: $2,000,000 per occurrence</w:t>
      </w:r>
    </w:p>
    <w:p>
      <w:pPr>
        <w:pStyle w:val="ListParagraph"/>
        <w:numPr>
          <w:ilvl w:val="0"/>
          <w:numId w:val="2"/>
        </w:numPr>
      </w:pPr>
      <w:r>
        <w:t xml:space="preserve">Professional Liability / Errors &amp; Omissions: $2,000,000 per claim</w:t>
      </w:r>
    </w:p>
    <w:p>
      <w:pPr>
        <w:pStyle w:val="ListParagraph"/>
        <w:numPr>
          <w:ilvl w:val="0"/>
          <w:numId w:val="2"/>
        </w:numPr>
      </w:pPr>
      <w:r>
        <w:t xml:space="preserve">Cyber Liability: $3,000,000 per occurrence</w:t>
      </w:r>
    </w:p>
    <w:p>
      <w:pPr>
        <w:pStyle w:val="ListParagraph"/>
        <w:numPr>
          <w:ilvl w:val="0"/>
          <w:numId w:val="2"/>
        </w:numPr>
        <w:spacing w:after="200"/>
      </w:pPr>
      <w:r>
        <w:t xml:space="preserve">Workers' Compensation: as required by applicable law</w:t>
      </w:r>
    </w:p>
    <w:p>
      <w:pPr>
        <w:pStyle w:val="Heading2"/>
        <w:spacing w:after="120" w:before="300"/>
      </w:pPr>
      <w:r>
        <w:rPr>
          <w:b/>
          <w:bCs/>
        </w:rPr>
        <w:t xml:space="preserve">13. Independent Contractor</w:t>
      </w:r>
    </w:p>
    <w:p>
      <w:pPr>
        <w:spacing w:after="160"/>
      </w:pPr>
      <w:r>
        <w:t xml:space="preserve">Vendor is an independent contractor. Nothing in this Agreement creates a partnership, joint venture, or employment relationship between the Parties.</w:t>
      </w:r>
    </w:p>
    <w:p>
      <w:pPr>
        <w:pStyle w:val="Heading2"/>
        <w:spacing w:after="120" w:before="300"/>
      </w:pPr>
      <w:r>
        <w:rPr>
          <w:b/>
          <w:bCs/>
        </w:rPr>
        <w:t xml:space="preserve">14. Amendments</w:t>
      </w:r>
    </w:p>
    <w:p>
      <w:pPr>
        <w:spacing w:after="140"/>
      </w:pPr>
      <w:r>
        <w:rPr>
          <w:b/>
          <w:bCs/>
        </w:rPr>
        <w:t xml:space="preserve">14.1  </w:t>
      </w:r>
      <w:r>
        <w:t xml:space="preserve">This Agreement, including any Exhibit or SOW, may be amended only by a written instrument signed by authorized representatives of both Parties (an “Amendment”).</w:t>
      </w:r>
    </w:p>
    <w:p>
      <w:pPr>
        <w:spacing w:after="140"/>
      </w:pPr>
      <w:r>
        <w:rPr>
          <w:b/>
          <w:bCs/>
        </w:rPr>
        <w:t xml:space="preserve">14.2  </w:t>
      </w:r>
      <w:r>
        <w:t xml:space="preserve">Each Amendment shall be numbered sequentially, shall reference this Agreement's contract number, and shall specify the sections modified and the effective date of the change. A log of executed Amendments is maintained in Exhibit D.</w:t>
      </w:r>
    </w:p>
    <w:p>
      <w:pPr>
        <w:pStyle w:val="Heading2"/>
        <w:spacing w:after="120" w:before="300"/>
      </w:pPr>
      <w:r>
        <w:rPr>
          <w:b/>
          <w:bCs/>
        </w:rPr>
        <w:t xml:space="preserve">15. General Provisions</w:t>
      </w:r>
    </w:p>
    <w:p>
      <w:pPr>
        <w:spacing w:after="140"/>
      </w:pPr>
      <w:r>
        <w:rPr>
          <w:b/>
          <w:bCs/>
        </w:rPr>
        <w:t xml:space="preserve">15.1  </w:t>
      </w:r>
      <w:r>
        <w:t xml:space="preserve">Governing Law. This Agreement is governed by the laws of the State of New York, without regard to conflict of laws principles.</w:t>
      </w:r>
    </w:p>
    <w:p>
      <w:pPr>
        <w:spacing w:after="140"/>
      </w:pPr>
      <w:r>
        <w:rPr>
          <w:b/>
          <w:bCs/>
        </w:rPr>
        <w:t xml:space="preserve">15.2  </w:t>
      </w:r>
      <w:r>
        <w:t xml:space="preserve">Assignment. Neither Party may assign this Agreement without the other Party's prior written consent, except to a successor in connection with a merger, acquisition, or sale of substantially all assets.</w:t>
      </w:r>
    </w:p>
    <w:p>
      <w:pPr>
        <w:spacing w:after="140"/>
      </w:pPr>
      <w:r>
        <w:rPr>
          <w:b/>
          <w:bCs/>
        </w:rPr>
        <w:t xml:space="preserve">15.3  </w:t>
      </w:r>
      <w:r>
        <w:t xml:space="preserve">Notices. Notices under this Agreement shall be in writing and delivered to the addresses set out above, or such other address as a Party designates in writing.</w:t>
      </w:r>
    </w:p>
    <w:p>
      <w:pPr>
        <w:spacing w:after="140"/>
      </w:pPr>
      <w:r>
        <w:rPr>
          <w:b/>
          <w:bCs/>
        </w:rPr>
        <w:t xml:space="preserve">15.4  </w:t>
      </w:r>
      <w:r>
        <w:t xml:space="preserve">Entire Agreement. This Agreement, together with all Exhibits and executed SOWs, constitutes the entire agreement between the Parties and supersedes all prior negotiations and agreements, written or oral, relating to its subject matter.</w:t>
      </w:r>
    </w:p>
    <w:p>
      <w:pPr>
        <w:spacing w:after="140"/>
      </w:pPr>
      <w:r>
        <w:rPr>
          <w:b/>
          <w:bCs/>
        </w:rPr>
        <w:t xml:space="preserve">15.5  </w:t>
      </w:r>
      <w:r>
        <w:t xml:space="preserve">Severability. If any provision of this Agreement is held invalid or unenforceable, the remaining provisions shall continue in full force and effect.</w:t>
      </w:r>
    </w:p>
    <w:p>
      <w:r>
        <w:br w:type="page"/>
      </w:r>
    </w:p>
    <w:p>
      <w:pPr>
        <w:pStyle w:val="Heading1"/>
        <w:spacing w:after="120" w:before="300"/>
      </w:pPr>
      <w:r>
        <w:rPr>
          <w:b/>
          <w:bCs/>
        </w:rPr>
        <w:t xml:space="preserve">Signatures</w:t>
      </w:r>
    </w:p>
    <w:p>
      <w:pPr>
        <w:spacing w:after="160"/>
      </w:pPr>
      <w:r>
        <w:t xml:space="preserve">IN WITNESS WHEREOF, the Parties have executed this Agreement as of the Effective Date first written above.</w:t>
      </w:r>
    </w:p>
    <w:p>
      <w:pPr>
        <w:spacing w:after="60" w:before="400"/>
      </w:pPr>
      <w:r>
        <w:rPr>
          <w:b/>
          <w:bCs/>
        </w:rPr>
        <w:t xml:space="preserve">For Meridian Retail Holdings, Inc. (“Client”)</w:t>
      </w:r>
    </w:p>
    <w:p>
      <w:pPr>
        <w:spacing w:after="60"/>
      </w:pPr>
      <w:r>
        <w:t xml:space="preserve">Signature: ______________________________</w:t>
      </w:r>
    </w:p>
    <w:p>
      <w:pPr>
        <w:spacing w:after="60"/>
      </w:pPr>
      <w:r>
        <w:t xml:space="preserve">Name:  Renata Osei</w:t>
      </w:r>
    </w:p>
    <w:p>
      <w:pPr>
        <w:spacing w:after="60"/>
      </w:pPr>
      <w:r>
        <w:t xml:space="preserve">Title:  VP, Vendor Management &amp; Procurement</w:t>
      </w:r>
    </w:p>
    <w:p>
      <w:pPr>
        <w:spacing w:after="200"/>
      </w:pPr>
      <w:r>
        <w:t xml:space="preserve">Date:  ______________________________</w:t>
      </w:r>
    </w:p>
    <w:p>
      <w:pPr>
        <w:spacing w:after="60" w:before="400"/>
      </w:pPr>
      <w:r>
        <w:rPr>
          <w:b/>
          <w:bCs/>
        </w:rPr>
        <w:t xml:space="preserve">For Brightline Managed Services LLC (“Vendor”)</w:t>
      </w:r>
    </w:p>
    <w:p>
      <w:pPr>
        <w:spacing w:after="60"/>
      </w:pPr>
      <w:r>
        <w:t xml:space="preserve">Signature: ______________________________</w:t>
      </w:r>
    </w:p>
    <w:p>
      <w:pPr>
        <w:spacing w:after="60"/>
      </w:pPr>
      <w:r>
        <w:t xml:space="preserve">Name:  Daniel T. Whitfield</w:t>
      </w:r>
    </w:p>
    <w:p>
      <w:pPr>
        <w:spacing w:after="60"/>
      </w:pPr>
      <w:r>
        <w:t xml:space="preserve">Title:  Chief Revenue Officer</w:t>
      </w:r>
    </w:p>
    <w:p>
      <w:pPr>
        <w:spacing w:after="200"/>
      </w:pPr>
      <w:r>
        <w:t xml:space="preserve">Date:  ______________________________</w:t>
      </w:r>
    </w:p>
    <w:p>
      <w:r>
        <w:br w:type="page"/>
      </w:r>
    </w:p>
    <w:p>
      <w:pPr>
        <w:pStyle w:val="Heading1"/>
        <w:spacing w:after="120" w:before="300"/>
      </w:pPr>
      <w:r>
        <w:rPr>
          <w:b/>
          <w:bCs/>
        </w:rPr>
        <w:t xml:space="preserve">Exhibit D — Amendment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4050"/>
        <w:gridCol w:w="2000"/>
      </w:tblGrid>
      <w:tr>
        <w:trPr>
          <w:tblHeader/>
        </w:trPr>
        <w:tc>
          <w:tcPr>
            <w:tcW w:type="dxa" w:w="1600"/>
            <w:shd w:fill="E8EEF7" w:color="auto" w:val="clear"/>
          </w:tcPr>
          <w:p>
            <w:r>
              <w:rPr>
                <w:b/>
                <w:bCs/>
                <w:sz w:val="20"/>
                <w:szCs w:val="20"/>
              </w:rPr>
              <w:t xml:space="preserve">Amendment #</w:t>
            </w:r>
          </w:p>
        </w:tc>
        <w:tc>
          <w:tcPr>
            <w:tcW w:type="dxa" w:w="1700"/>
            <w:shd w:fill="E8EEF7" w:color="auto" w:val="clear"/>
          </w:tcPr>
          <w:p>
            <w:r>
              <w:rPr>
                <w:b/>
                <w:bCs/>
                <w:sz w:val="20"/>
                <w:szCs w:val="20"/>
              </w:rPr>
              <w:t xml:space="preserve">Date</w:t>
            </w:r>
          </w:p>
        </w:tc>
        <w:tc>
          <w:tcPr>
            <w:tcW w:type="dxa" w:w="4050"/>
            <w:shd w:fill="E8EEF7" w:color="auto" w:val="clear"/>
          </w:tcPr>
          <w:p>
            <w:r>
              <w:rPr>
                <w:b/>
                <w:bCs/>
                <w:sz w:val="20"/>
                <w:szCs w:val="20"/>
              </w:rPr>
              <w:t xml:space="preserve">Summary of Change</w:t>
            </w:r>
          </w:p>
        </w:tc>
        <w:tc>
          <w:tcPr>
            <w:tcW w:type="dxa" w:w="2000"/>
            <w:shd w:fill="E8EEF7" w:color="auto" w:val="clear"/>
          </w:tcPr>
          <w:p>
            <w:r>
              <w:rPr>
                <w:b/>
                <w:bCs/>
                <w:sz w:val="20"/>
                <w:szCs w:val="20"/>
              </w:rPr>
              <w:t xml:space="preserve">Status</w:t>
            </w:r>
          </w:p>
        </w:tc>
      </w:tr>
      <w:tr>
        <w:tc>
          <w:tcPr>
            <w:tcW w:type="dxa" w:w="1600"/>
          </w:tcPr>
          <w:p>
            <w:r>
              <w:rPr>
                <w:b w:val="false"/>
                <w:bCs w:val="false"/>
                <w:sz w:val="20"/>
                <w:szCs w:val="20"/>
              </w:rPr>
              <w:t xml:space="preserve">AMD-01</w:t>
            </w:r>
          </w:p>
        </w:tc>
        <w:tc>
          <w:tcPr>
            <w:tcW w:type="dxa" w:w="1700"/>
          </w:tcPr>
          <w:p>
            <w:r>
              <w:rPr>
                <w:b w:val="false"/>
                <w:bCs w:val="false"/>
                <w:sz w:val="20"/>
                <w:szCs w:val="20"/>
              </w:rPr>
              <w:t xml:space="preserve">07/15/2026</w:t>
            </w:r>
          </w:p>
        </w:tc>
        <w:tc>
          <w:tcPr>
            <w:tcW w:type="dxa" w:w="4050"/>
          </w:tcPr>
          <w:p>
            <w:r>
              <w:rPr>
                <w:b w:val="false"/>
                <w:bCs w:val="false"/>
                <w:sz w:val="20"/>
                <w:szCs w:val="20"/>
              </w:rPr>
              <w:t xml:space="preserve">Added on-site Emergency Response line item and revised annual estimated quantity for Application Support &amp; Maintenance from 300 to 400 hours.</w:t>
            </w:r>
          </w:p>
        </w:tc>
        <w:tc>
          <w:tcPr>
            <w:tcW w:type="dxa" w:w="2000"/>
          </w:tcPr>
          <w:p>
            <w:r>
              <w:rPr>
                <w:b w:val="false"/>
                <w:bCs w:val="false"/>
                <w:sz w:val="20"/>
                <w:szCs w:val="20"/>
              </w:rPr>
              <w:t xml:space="preserve">Executed</w:t>
            </w:r>
          </w:p>
        </w:tc>
      </w:tr>
    </w:tbl>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2026-08-16T13:38:35.599Z</dcterms:created>
  <dcterms:modified xsi:type="dcterms:W3CDTF">2026-08-16T13:38:35.618Z</dcterms:modified>
</cp:coreProperties>
</file>

<file path=docProps/custom.xml><?xml version="1.0" encoding="utf-8"?>
<Properties xmlns="http://schemas.openxmlformats.org/officeDocument/2006/custom-properties" xmlns:vt="http://schemas.openxmlformats.org/officeDocument/2006/docPropsVTypes"/>
</file>