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pacing w:val="60"/>
          <w:sz w:val="20"/>
          <w:szCs w:val="20"/>
        </w:rPr>
        <w:t xml:space="preserve">EXECUTIVE SUMMARY</w:t>
      </w:r>
    </w:p>
    <w:p>
      <w:pPr>
        <w:spacing w:after="60"/>
      </w:pPr>
      <w:r>
        <w:rPr>
          <w:b/>
          <w:bCs/>
          <w:color w:val="1F3A5F"/>
          <w:sz w:val="40"/>
          <w:szCs w:val="40"/>
        </w:rPr>
        <w:t xml:space="preserve">Predicting Ferry Demand Before the Queue Forms</w:t>
      </w:r>
    </w:p>
    <w:p>
      <w:pPr>
        <w:spacing w:after="200"/>
      </w:pPr>
      <w:r>
        <w:rPr>
          <w:color w:val="595959"/>
          <w:sz w:val="21"/>
          <w:szCs w:val="21"/>
        </w:rPr>
        <w:t xml:space="preserve">Toronto Island Park Ferry • Prepared for Toronto Parks, Forestry &amp; Recreation</w:t>
      </w:r>
    </w:p>
    <w:p>
      <w:pPr>
        <w:keepNext/>
        <w:pBdr>
          <w:bottom w:val="single" w:color="1F3A5F" w:sz="6" w:space="3"/>
        </w:pBdr>
        <w:spacing w:after="100" w:before="240"/>
      </w:pPr>
      <w:r>
        <w:rPr>
          <w:b/>
          <w:bCs/>
          <w:color w:val="1F3A5F"/>
          <w:sz w:val="26"/>
          <w:szCs w:val="26"/>
        </w:rPr>
        <w:t xml:space="preserve">The Issue</w:t>
      </w:r>
    </w:p>
    <w:p>
      <w:pPr>
        <w:spacing w:after="120" w:line="290"/>
        <w:jc w:val="left"/>
      </w:pPr>
      <w:r>
        <w:t xml:space="preserve">Ferry congestion is currently managed reactively, by responding to the queue once it is visible. The service holds about ten years of ticket data that had not been used to anticipate demand. This project turned that data into a short-term forecast so that staff and vessels can be deployed ahead of a surge.</w:t>
      </w:r>
    </w:p>
    <w:p>
      <w:pPr>
        <w:keepNext/>
        <w:pBdr>
          <w:bottom w:val="single" w:color="1F3A5F" w:sz="6" w:space="3"/>
        </w:pBdr>
        <w:spacing w:after="100" w:before="240"/>
      </w:pPr>
      <w:r>
        <w:rPr>
          <w:b/>
          <w:bCs/>
          <w:color w:val="1F3A5F"/>
          <w:sz w:val="26"/>
          <w:szCs w:val="26"/>
        </w:rPr>
        <w:t xml:space="preserve">Key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center"/>
            </w:pPr>
            <w:r>
              <w:rPr>
                <w:b/>
                <w:bCs/>
                <w:color w:val="FFFFFF"/>
                <w:sz w:val="36"/>
                <w:szCs w:val="36"/>
              </w:rPr>
              <w:t xml:space="preserve">16.90</w:t>
            </w:r>
          </w:p>
        </w:tc>
        <w:tc>
          <w:tcPr>
            <w:tcW w:type="dxa" w:w="225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center"/>
            </w:pPr>
            <w:r>
              <w:rPr>
                <w:b/>
                <w:bCs/>
                <w:color w:val="FFFFFF"/>
                <w:sz w:val="36"/>
                <w:szCs w:val="36"/>
              </w:rPr>
              <w:t xml:space="preserve">+0.92</w:t>
            </w:r>
          </w:p>
        </w:tc>
        <w:tc>
          <w:tcPr>
            <w:tcW w:type="dxa" w:w="2257"/>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center"/>
            </w:pPr>
            <w:r>
              <w:rPr>
                <w:b/>
                <w:bCs/>
                <w:color w:val="FFFFFF"/>
                <w:sz w:val="36"/>
                <w:szCs w:val="36"/>
              </w:rPr>
              <w:t xml:space="preserve">11–13h</w:t>
            </w:r>
          </w:p>
        </w:tc>
        <w:tc>
          <w:tcPr>
            <w:tcW w:type="dxa" w:w="2257"/>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center"/>
            </w:pPr>
            <w:r>
              <w:rPr>
                <w:b/>
                <w:bCs/>
                <w:color w:val="FFFFFF"/>
                <w:sz w:val="36"/>
                <w:szCs w:val="36"/>
              </w:rPr>
              <w:t xml:space="preserve">15 min–2 h</w:t>
            </w:r>
          </w:p>
        </w:tc>
      </w:tr>
      <w:tr>
        <w:tc>
          <w:tcPr>
            <w:tcW w:type="dxa" w:w="2256"/>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pPr>
              <w:jc w:val="center"/>
            </w:pPr>
            <w:r>
              <w:rPr>
                <w:color w:val="000000"/>
                <w:sz w:val="18"/>
                <w:szCs w:val="18"/>
              </w:rPr>
              <w:t xml:space="preserve">tickets: average forecast error per 15 min</w:t>
            </w:r>
          </w:p>
        </w:tc>
        <w:tc>
          <w:tcPr>
            <w:tcW w:type="dxa" w:w="2256"/>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pPr>
              <w:jc w:val="center"/>
            </w:pPr>
            <w:r>
              <w:rPr>
                <w:color w:val="000000"/>
                <w:sz w:val="18"/>
                <w:szCs w:val="18"/>
              </w:rPr>
              <w:t xml:space="preserve">sales–boarding correlation: buyers go straight to the gate</w:t>
            </w:r>
          </w:p>
        </w:tc>
        <w:tc>
          <w:tcPr>
            <w:tcW w:type="dxa" w:w="2257"/>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pPr>
              <w:jc w:val="center"/>
            </w:pPr>
            <w:r>
              <w:rPr>
                <w:color w:val="000000"/>
                <w:sz w:val="18"/>
                <w:szCs w:val="18"/>
              </w:rPr>
              <w:t xml:space="preserve">peak window when most congestion risk occurs</w:t>
            </w:r>
          </w:p>
        </w:tc>
        <w:tc>
          <w:tcPr>
            <w:tcW w:type="dxa" w:w="2257"/>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pPr>
              <w:jc w:val="center"/>
            </w:pPr>
            <w:r>
              <w:rPr>
                <w:color w:val="000000"/>
                <w:sz w:val="18"/>
                <w:szCs w:val="18"/>
              </w:rPr>
              <w:t xml:space="preserve">forecast lead time in the live dashboard</w:t>
            </w:r>
          </w:p>
        </w:tc>
      </w:tr>
    </w:tbl>
    <w:p>
      <w:pPr>
        <w:spacing w:after="80"/>
      </w:pPr>
    </w:p>
    <w:p>
      <w:pPr>
        <w:pStyle w:val="ListParagraph"/>
        <w:numPr>
          <w:ilvl w:val="0"/>
          <w:numId w:val="2"/>
        </w:numPr>
        <w:spacing w:after="70" w:line="280"/>
      </w:pPr>
      <w:r>
        <w:rPr>
          <w:b/>
          <w:bCs/>
        </w:rPr>
        <w:t xml:space="preserve">A working forecasting tool exists. </w:t>
      </w:r>
      <w:r>
        <w:t xml:space="preserve">A machine-learning model (XGBoost) predicts ticket sales up to 2 hours ahead and runs in a live dashboard that shows a forecast range and a green / yellow / red readiness alert.</w:t>
      </w:r>
    </w:p>
    <w:p>
      <w:pPr>
        <w:pStyle w:val="ListParagraph"/>
        <w:numPr>
          <w:ilvl w:val="0"/>
          <w:numId w:val="2"/>
        </w:numPr>
        <w:spacing w:after="70" w:line="280"/>
      </w:pPr>
      <w:r>
        <w:rPr>
          <w:b/>
          <w:bCs/>
        </w:rPr>
        <w:t xml:space="preserve">It beats the alternatives. </w:t>
      </w:r>
      <w:r>
        <w:t xml:space="preserve">Its average error (16.90 tickets per 15 minutes) was lower than the standard statistical methods tested (SARIMA 50.16, Prophet 40.45) and the simple “same as last interval” baseline (21.42).</w:t>
      </w:r>
    </w:p>
    <w:p>
      <w:pPr>
        <w:pStyle w:val="ListParagraph"/>
        <w:numPr>
          <w:ilvl w:val="0"/>
          <w:numId w:val="2"/>
        </w:numPr>
        <w:spacing w:after="70" w:line="280"/>
      </w:pPr>
      <w:r>
        <w:rPr>
          <w:b/>
          <w:bCs/>
        </w:rPr>
        <w:t xml:space="preserve">Demand is predictable in shape. </w:t>
      </w:r>
      <w:r>
        <w:t xml:space="preserve">Summer drives almost all volume, weekends run roughly 1.6 to 2 times busier than weekdays, and the highest-risk intervals cluster around 11:00–12:00.</w:t>
      </w:r>
    </w:p>
    <w:p>
      <w:pPr>
        <w:pStyle w:val="ListParagraph"/>
        <w:numPr>
          <w:ilvl w:val="0"/>
          <w:numId w:val="2"/>
        </w:numPr>
        <w:spacing w:after="70" w:line="280"/>
      </w:pPr>
      <w:r>
        <w:rPr>
          <w:b/>
          <w:bCs/>
        </w:rPr>
        <w:t xml:space="preserve">Little warning time is available from the queue. </w:t>
      </w:r>
      <w:r>
        <w:t xml:space="preserve">Because most buyers go straight to boarding (correlation +0.92), tickets sold now become gate volume within about 15 minutes.</w:t>
      </w:r>
    </w:p>
    <w:p>
      <w:pPr>
        <w:keepNext/>
        <w:pBdr>
          <w:bottom w:val="single" w:color="1F3A5F" w:sz="6" w:space="3"/>
        </w:pBdr>
        <w:spacing w:after="100" w:before="240"/>
      </w:pPr>
      <w:r>
        <w:rPr>
          <w:b/>
          <w:bCs/>
          <w:color w:val="1F3A5F"/>
          <w:sz w:val="26"/>
          <w:szCs w:val="26"/>
        </w:rPr>
        <w:t xml:space="preserve">Recommended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left"/>
            </w:pPr>
            <w:r>
              <w:rPr>
                <w:b/>
                <w:bCs/>
                <w:color w:val="FFFFFF"/>
                <w:sz w:val="20"/>
                <w:szCs w:val="20"/>
              </w:rPr>
              <w:t xml:space="preserve">Action</w:t>
            </w:r>
          </w:p>
        </w:tc>
        <w:tc>
          <w:tcPr>
            <w:tcW w:type="dxa" w:w="4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left"/>
            </w:pPr>
            <w:r>
              <w:rPr>
                <w:b/>
                <w:bCs/>
                <w:color w:val="FFFFFF"/>
                <w:sz w:val="20"/>
                <w:szCs w:val="20"/>
              </w:rPr>
              <w:t xml:space="preserve">What it means</w:t>
            </w:r>
          </w:p>
        </w:tc>
        <w:tc>
          <w:tcPr>
            <w:tcW w:type="dxa" w:w="252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pPr>
              <w:jc w:val="left"/>
            </w:pPr>
            <w:r>
              <w:rPr>
                <w:b/>
                <w:bCs/>
                <w:color w:val="FFFFFF"/>
                <w:sz w:val="20"/>
                <w:szCs w:val="20"/>
              </w:rPr>
              <w:t xml:space="preserve">Owner (suggested)</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color w:val="000000"/>
                <w:sz w:val="20"/>
                <w:szCs w:val="20"/>
              </w:rPr>
              <w:t xml:space="preserve">1. Protect the midday window</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No shift changes or lunch breaks 10:30–13:00 on weekends.</w:t>
            </w:r>
          </w:p>
        </w:tc>
        <w:tc>
          <w:tcPr>
            <w:tcW w:type="dxa" w:w="2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Staffing / rostering</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color w:val="000000"/>
                <w:sz w:val="20"/>
                <w:szCs w:val="20"/>
              </w:rPr>
              <w:t xml:space="preserve">2. Put the dashboard at the gate</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Tablet for the gate manager; act on the 1-hour forecast, not queue length.</w:t>
            </w:r>
          </w:p>
        </w:tc>
        <w:tc>
          <w:tcPr>
            <w:tcW w:type="dxa" w:w="2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Gate operations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color w:val="000000"/>
                <w:sz w:val="20"/>
                <w:szCs w:val="20"/>
              </w:rPr>
              <w:t xml:space="preserve">3. Act on the upper bound</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When the 95% upper bound exceeds capacity, put the secondary ferry crew on standby.</w:t>
            </w:r>
          </w:p>
        </w:tc>
        <w:tc>
          <w:tcPr>
            <w:tcW w:type="dxa" w:w="2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Ferry operations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color w:val="000000"/>
                <w:sz w:val="20"/>
                <w:szCs w:val="20"/>
              </w:rPr>
              <w:t xml:space="preserve">4. Pilot off-peak incentives</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Test pricing or promotions for weekend trips before 10:00 or after 15:00.</w:t>
            </w:r>
          </w:p>
        </w:tc>
        <w:tc>
          <w:tcPr>
            <w:tcW w:type="dxa" w:w="2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Policy / revenue</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bCs/>
                <w:color w:val="000000"/>
                <w:sz w:val="20"/>
                <w:szCs w:val="20"/>
              </w:rPr>
              <w:t xml:space="preserve">5. Review data anomalies</w:t>
            </w:r>
          </w:p>
        </w:tc>
        <w:tc>
          <w:tcPr>
            <w:tcW w:type="dxa" w:w="4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Check unusual ticket records with the ticketing system owners.</w:t>
            </w:r>
          </w:p>
        </w:tc>
        <w:tc>
          <w:tcPr>
            <w:tcW w:type="dxa" w:w="2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left"/>
            </w:pPr>
            <w:r>
              <w:rPr>
                <w:b w:val="false"/>
                <w:bCs w:val="false"/>
                <w:color w:val="000000"/>
                <w:sz w:val="20"/>
                <w:szCs w:val="20"/>
              </w:rPr>
              <w:t xml:space="preserve">Data / IT</w:t>
            </w:r>
          </w:p>
        </w:tc>
      </w:tr>
    </w:tbl>
    <w:p>
      <w:pPr>
        <w:keepNext/>
        <w:pBdr>
          <w:bottom w:val="single" w:color="1F3A5F" w:sz="6" w:space="3"/>
        </w:pBdr>
        <w:spacing w:after="100" w:before="240"/>
      </w:pPr>
      <w:r>
        <w:rPr>
          <w:b/>
          <w:bCs/>
          <w:color w:val="1F3A5F"/>
          <w:sz w:val="26"/>
          <w:szCs w:val="26"/>
        </w:rPr>
        <w:t xml:space="preserve">Risks and Limits to Understand</w:t>
      </w:r>
    </w:p>
    <w:p>
      <w:pPr>
        <w:pStyle w:val="ListParagraph"/>
        <w:numPr>
          <w:ilvl w:val="0"/>
          <w:numId w:val="2"/>
        </w:numPr>
        <w:spacing w:after="70" w:line="280"/>
      </w:pPr>
      <w:r>
        <w:rPr>
          <w:b/>
          <w:bCs/>
        </w:rPr>
        <w:t xml:space="preserve">Large surges are under-predicted. </w:t>
      </w:r>
      <w:r>
        <w:t xml:space="preserve">The model captures the general level of demand but smooths one-off spikes. It should support, not replace, the judgement of the gate manager.</w:t>
      </w:r>
    </w:p>
    <w:p>
      <w:pPr>
        <w:pStyle w:val="ListParagraph"/>
        <w:numPr>
          <w:ilvl w:val="0"/>
          <w:numId w:val="2"/>
        </w:numPr>
        <w:spacing w:after="70" w:line="280"/>
      </w:pPr>
      <w:r>
        <w:rPr>
          <w:b/>
          <w:bCs/>
        </w:rPr>
        <w:t xml:space="preserve">The warning range is wide. </w:t>
      </w:r>
      <w:r>
        <w:t xml:space="preserve">The 95% band is about ±120 tickets, so the “worst case” alert is cautious and may trigger standby more often than needed until the range is refined.</w:t>
      </w:r>
    </w:p>
    <w:p>
      <w:pPr>
        <w:pStyle w:val="ListParagraph"/>
        <w:numPr>
          <w:ilvl w:val="0"/>
          <w:numId w:val="2"/>
        </w:numPr>
        <w:spacing w:after="70" w:line="280"/>
      </w:pPr>
      <w:r>
        <w:rPr>
          <w:b/>
          <w:bCs/>
        </w:rPr>
        <w:t xml:space="preserve">Some factors are not yet included. </w:t>
      </w:r>
      <w:r>
        <w:t xml:space="preserve">Weather, holidays and special events are not model inputs, and they are likely to matter most on busy summer days.</w:t>
      </w:r>
    </w:p>
    <w:p>
      <w:pPr>
        <w:keepNext/>
        <w:pBdr>
          <w:bottom w:val="single" w:color="1F3A5F" w:sz="6" w:space="3"/>
        </w:pBdr>
        <w:spacing w:after="100" w:before="240"/>
      </w:pPr>
      <w:r>
        <w:rPr>
          <w:b/>
          <w:bCs/>
          <w:color w:val="1F3A5F"/>
          <w:sz w:val="26"/>
          <w:szCs w:val="26"/>
        </w:rPr>
        <w:t xml:space="preserve">Next Steps</w:t>
      </w:r>
    </w:p>
    <w:p>
      <w:pPr>
        <w:pStyle w:val="ListParagraph"/>
        <w:numPr>
          <w:ilvl w:val="0"/>
          <w:numId w:val="2"/>
        </w:numPr>
        <w:spacing w:after="70" w:line="280"/>
      </w:pPr>
      <w:r>
        <w:t xml:space="preserve">Run the dashboard alongside current practice for one summer season and record how often its alerts match actual congestion.</w:t>
      </w:r>
    </w:p>
    <w:p>
      <w:pPr>
        <w:pStyle w:val="ListParagraph"/>
        <w:numPr>
          <w:ilvl w:val="0"/>
          <w:numId w:val="2"/>
        </w:numPr>
        <w:spacing w:after="70" w:line="280"/>
      </w:pPr>
      <w:r>
        <w:t xml:space="preserve">Add weather, holiday and event data, and improve the forecast range so alerts are better tuned.</w:t>
      </w:r>
    </w:p>
    <w:p>
      <w:pPr>
        <w:pStyle w:val="ListParagraph"/>
        <w:numPr>
          <w:ilvl w:val="0"/>
          <w:numId w:val="2"/>
        </w:numPr>
        <w:spacing w:after="70" w:line="280"/>
      </w:pPr>
      <w:r>
        <w:t xml:space="preserve">Review the pricing pilot design and the unusual ticket records with the relevant teams.</w:t>
      </w:r>
    </w:p>
    <w:p>
      <w:pPr>
        <w:spacing w:after="0" w:line="290"/>
        <w:jc w:val="left"/>
      </w:pPr>
      <w:r>
        <w:rPr>
          <w:b/>
          <w:bCs/>
        </w:rPr>
        <w:t xml:space="preserve">Decision requested: </w:t>
      </w:r>
      <w:r>
        <w:t xml:space="preserve">approve deployment of the dashboard at the main gate for a trial season, with the evaluation described above.</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Ferry Demand Forecasting</dc:title>
  <dc:creator>Ferry Demand Forecasting Project</dc:creator>
  <cp:lastModifiedBy>Un-named</cp:lastModifiedBy>
  <cp:revision>1</cp:revision>
  <dcterms:created xsi:type="dcterms:W3CDTF">2026-10-02T19:01:55.276Z</dcterms:created>
  <dcterms:modified xsi:type="dcterms:W3CDTF">2026-10-02T19:01:55.283Z</dcterms:modified>
</cp:coreProperties>
</file>

<file path=docProps/custom.xml><?xml version="1.0" encoding="utf-8"?>
<Properties xmlns="http://schemas.openxmlformats.org/officeDocument/2006/custom-properties" xmlns:vt="http://schemas.openxmlformats.org/officeDocument/2006/docPropsVTypes"/>
</file>