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666E8">
      <w:pPr>
        <w:pStyle w:val="36"/>
        <w:jc w:val="center"/>
      </w:pPr>
      <w:r>
        <w:t>AI Evidence-to-Decision Simulator</w:t>
      </w:r>
    </w:p>
    <w:p w14:paraId="481B04E4">
      <w:pPr>
        <w:jc w:val="center"/>
      </w:pPr>
      <w:r>
        <w:rPr>
          <w:b/>
          <w:color w:val="5A5A5A"/>
          <w:sz w:val="22"/>
        </w:rPr>
        <w:t>Internship Selection Assignment</w:t>
      </w:r>
    </w:p>
    <w:p w14:paraId="52AEC9D1">
      <w:pPr>
        <w:pStyle w:val="2"/>
      </w:pPr>
      <w:r>
        <w:t>Objective</w:t>
      </w:r>
    </w:p>
    <w:p w14:paraId="2745B8BC">
      <w:r>
        <w:t>Build a working Streamlit application that investigates a missing shipment using a set of business documents. The application must organize evidence, identify conflicting claims, allow users to request additional records, and evaluate a decision based on the evidence available.</w:t>
      </w:r>
    </w:p>
    <w:p w14:paraId="42190030">
      <w:pPr>
        <w:pStyle w:val="2"/>
      </w:pPr>
      <w:r>
        <w:t>Case Scenario</w:t>
      </w:r>
    </w:p>
    <w:p w14:paraId="31007A0A">
      <w:r>
        <w:t>A company ordered 500 electronic components worth ₹18 lakh. The supplier says the full shipment was dispatched, courier tracking shows delivery completed, and the warehouse reports receiving fewer units than expected. An email mentions a delivery-address change, but the authorization is unclear. Your application must help an investigator establish what the records support, identify what remains uncertain, and recommend the next investigative step.</w:t>
      </w:r>
    </w:p>
    <w:p w14:paraId="4A31FB57">
      <w:pPr>
        <w:pStyle w:val="2"/>
      </w:pPr>
      <w:r>
        <w:t>What You Must Build</w:t>
      </w:r>
    </w:p>
    <w:p w14:paraId="6249160E">
      <w:pPr>
        <w:pStyle w:val="23"/>
        <w:spacing w:after="60"/>
      </w:pPr>
      <w:r>
        <w:rPr>
          <w:b/>
        </w:rPr>
        <w:t xml:space="preserve">Case workspace: </w:t>
      </w:r>
      <w:r>
        <w:t>Display the case summary and the documents available for review.</w:t>
      </w:r>
    </w:p>
    <w:p w14:paraId="7B9A2325">
      <w:pPr>
        <w:pStyle w:val="23"/>
        <w:spacing w:after="60"/>
      </w:pPr>
      <w:r>
        <w:rPr>
          <w:b/>
        </w:rPr>
        <w:t xml:space="preserve">Evidence extraction: </w:t>
      </w:r>
      <w:r>
        <w:t>Extract text from PDF and email files. Assign evidence IDs and preserve source references.</w:t>
      </w:r>
    </w:p>
    <w:p w14:paraId="728C5ECF">
      <w:pPr>
        <w:pStyle w:val="23"/>
        <w:spacing w:after="60"/>
      </w:pPr>
      <w:r>
        <w:rPr>
          <w:b/>
        </w:rPr>
        <w:t xml:space="preserve">Evidence register and timeline: </w:t>
      </w:r>
      <w:r>
        <w:t>Organize key claims, dates, quantities, parties, and events.</w:t>
      </w:r>
    </w:p>
    <w:p w14:paraId="163F1246">
      <w:pPr>
        <w:pStyle w:val="23"/>
        <w:spacing w:after="60"/>
      </w:pPr>
      <w:r>
        <w:rPr>
          <w:b/>
        </w:rPr>
        <w:t xml:space="preserve">Conflict detection: </w:t>
      </w:r>
      <w:r>
        <w:t>Identify potential contradictions across records and show the sources involved.</w:t>
      </w:r>
    </w:p>
    <w:p w14:paraId="64C0D069">
      <w:pPr>
        <w:pStyle w:val="23"/>
        <w:spacing w:after="60"/>
      </w:pPr>
      <w:r>
        <w:rPr>
          <w:b/>
        </w:rPr>
        <w:t xml:space="preserve">Evidence-grounded investigation: </w:t>
      </w:r>
      <w:r>
        <w:t>Allow users to ask questions about the case. Answers must cite available evidence and acknowledge when the records do not support a conclusion.</w:t>
      </w:r>
    </w:p>
    <w:p w14:paraId="25E97020">
      <w:pPr>
        <w:pStyle w:val="23"/>
        <w:spacing w:after="60"/>
      </w:pPr>
      <w:r>
        <w:rPr>
          <w:b/>
        </w:rPr>
        <w:t xml:space="preserve">Controlled evidence requests: </w:t>
      </w:r>
      <w:r>
        <w:t>Include additional records that are initially hidden. Users must request a record and provide a reason before the application releases it. Hidden document contents must not be sent to the LLM before release.</w:t>
      </w:r>
    </w:p>
    <w:p w14:paraId="343BB8F4">
      <w:pPr>
        <w:pStyle w:val="23"/>
        <w:spacing w:after="60"/>
      </w:pPr>
      <w:r>
        <w:rPr>
          <w:b/>
        </w:rPr>
        <w:t xml:space="preserve">Decision submission: </w:t>
      </w:r>
      <w:r>
        <w:t>Collect the user's conclusion, supporting evidence, counterevidence, confidence level, and recommended next action.</w:t>
      </w:r>
    </w:p>
    <w:p w14:paraId="37679B38">
      <w:pPr>
        <w:pStyle w:val="23"/>
        <w:spacing w:after="60"/>
      </w:pPr>
      <w:r>
        <w:rPr>
          <w:b/>
        </w:rPr>
        <w:t xml:space="preserve">Evaluation and retry: </w:t>
      </w:r>
      <w:r>
        <w:t>Score the submission against a defined rubric, provide specific feedback, save each attempt, and allow users to revise their decision.</w:t>
      </w:r>
    </w:p>
    <w:p w14:paraId="07197664">
      <w:pPr>
        <w:pStyle w:val="23"/>
        <w:spacing w:after="60"/>
      </w:pPr>
      <w:r>
        <w:rPr>
          <w:b/>
        </w:rPr>
        <w:t xml:space="preserve">Final report: </w:t>
      </w:r>
      <w:r>
        <w:t>Summarize the timeline, key evidence, unresolved conflicts, decision history, and recommended next steps.</w:t>
      </w:r>
    </w:p>
    <w:p w14:paraId="22DD55F0">
      <w:pPr>
        <w:pStyle w:val="2"/>
      </w:pPr>
      <w:r>
        <w:t>Technical Constraints</w:t>
      </w:r>
    </w:p>
    <w:p w14:paraId="25E22BA3">
      <w:pPr>
        <w:pStyle w:val="23"/>
      </w:pPr>
      <w:r>
        <w:t>Use Python, Streamlit, an LLM API, and structured JSON outputs.</w:t>
      </w:r>
    </w:p>
    <w:p w14:paraId="1A367F15">
      <w:pPr>
        <w:pStyle w:val="23"/>
      </w:pPr>
      <w:r>
        <w:t>Use Python logic to validate evidence IDs, control access to hidden records, manage application state, and calculate scores.</w:t>
      </w:r>
    </w:p>
    <w:p w14:paraId="334A8FB9">
      <w:pPr>
        <w:pStyle w:val="23"/>
      </w:pPr>
      <w:r>
        <w:t>Do not allow the LLM to invent evidence, release hidden records, or assign the final score without validation.</w:t>
      </w:r>
    </w:p>
    <w:p w14:paraId="3F3C7A28">
      <w:pPr>
        <w:pStyle w:val="23"/>
      </w:pPr>
      <w:r>
        <w:t>Handle invalid model output, missing files, and API failures without crashing.</w:t>
      </w:r>
    </w:p>
    <w:p w14:paraId="562614F0">
      <w:pPr>
        <w:pStyle w:val="23"/>
      </w:pPr>
      <w:r>
        <w:t>Use synthetic case materials. Do not make unsupported accusations against any party.</w:t>
      </w:r>
    </w:p>
    <w:p w14:paraId="786D468D">
      <w:pPr>
        <w:pStyle w:val="2"/>
      </w:pPr>
      <w:r>
        <w:t>Evaluation Rubric</w:t>
      </w:r>
    </w:p>
    <w:p w14:paraId="62BE4BF3">
      <w:r>
        <w:t>Submissions will be assessed out of 100 points.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C9A394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154E642">
            <w:pPr>
              <w:spacing w:line="240" w:lineRule="auto"/>
            </w:pPr>
            <w:r>
              <w:t>Criterion</w:t>
            </w:r>
          </w:p>
        </w:tc>
        <w:tc>
          <w:tcPr>
            <w:tcW w:w="4968" w:type="dxa"/>
          </w:tcPr>
          <w:p w14:paraId="3D950E96">
            <w:pPr>
              <w:spacing w:line="240" w:lineRule="auto"/>
            </w:pPr>
            <w:r>
              <w:t>Weight</w:t>
            </w:r>
          </w:p>
        </w:tc>
      </w:tr>
      <w:tr w14:paraId="37DEAF8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D07DDD5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Evidence extraction and source traceability</w:t>
            </w:r>
          </w:p>
        </w:tc>
        <w:tc>
          <w:tcPr>
            <w:tcW w:w="4968" w:type="dxa"/>
          </w:tcPr>
          <w:p w14:paraId="6135249A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15</w:t>
            </w:r>
          </w:p>
        </w:tc>
      </w:tr>
      <w:tr w14:paraId="43BF539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CDA913B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LLM integration and grounded responses</w:t>
            </w:r>
          </w:p>
        </w:tc>
        <w:tc>
          <w:tcPr>
            <w:tcW w:w="4968" w:type="dxa"/>
          </w:tcPr>
          <w:p w14:paraId="483C448B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20</w:t>
            </w:r>
          </w:p>
        </w:tc>
      </w:tr>
      <w:tr w14:paraId="3A62A4D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0BEB006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Contradiction detection and investigation logic</w:t>
            </w:r>
          </w:p>
        </w:tc>
        <w:tc>
          <w:tcPr>
            <w:tcW w:w="4968" w:type="dxa"/>
          </w:tcPr>
          <w:p w14:paraId="7346D09B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20</w:t>
            </w:r>
          </w:p>
        </w:tc>
      </w:tr>
      <w:tr w14:paraId="2FC1CF5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2C8534A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Controlled evidence requests and adaptive retries</w:t>
            </w:r>
          </w:p>
        </w:tc>
        <w:tc>
          <w:tcPr>
            <w:tcW w:w="4968" w:type="dxa"/>
          </w:tcPr>
          <w:p w14:paraId="4B56347B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15</w:t>
            </w:r>
          </w:p>
        </w:tc>
      </w:tr>
      <w:tr w14:paraId="250C995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04A5763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Scoring, testing, and error handling</w:t>
            </w:r>
          </w:p>
        </w:tc>
        <w:tc>
          <w:tcPr>
            <w:tcW w:w="4968" w:type="dxa"/>
          </w:tcPr>
          <w:p w14:paraId="66F7E0DC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15</w:t>
            </w:r>
          </w:p>
        </w:tc>
      </w:tr>
      <w:tr w14:paraId="6C319D3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19EA37C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Interface and final report</w:t>
            </w:r>
          </w:p>
        </w:tc>
        <w:tc>
          <w:tcPr>
            <w:tcW w:w="4968" w:type="dxa"/>
          </w:tcPr>
          <w:p w14:paraId="67FFD703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 w14:paraId="270069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B138E7F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Code quality and technical explanation</w:t>
            </w:r>
          </w:p>
        </w:tc>
        <w:tc>
          <w:tcPr>
            <w:tcW w:w="4968" w:type="dxa"/>
          </w:tcPr>
          <w:p w14:paraId="177F0AED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10</w:t>
            </w:r>
          </w:p>
        </w:tc>
      </w:tr>
      <w:tr w14:paraId="58FB45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7E6C2FE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w="4968" w:type="dxa"/>
          </w:tcPr>
          <w:p w14:paraId="3E4087B9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100</w:t>
            </w:r>
          </w:p>
        </w:tc>
      </w:tr>
    </w:tbl>
    <w:p w14:paraId="11296D24">
      <w:pPr>
        <w:pStyle w:val="2"/>
      </w:pPr>
      <w:r>
        <w:t>Minimum Test Cases</w:t>
      </w:r>
    </w:p>
    <w:p w14:paraId="0961338F">
      <w:pPr>
        <w:pStyle w:val="23"/>
      </w:pPr>
      <w:r>
        <w:t>Conflicting quantities or dates across two documents: show the conflict and identify both sources.</w:t>
      </w:r>
    </w:p>
    <w:p w14:paraId="27901CAA">
      <w:pPr>
        <w:pStyle w:val="23"/>
      </w:pPr>
      <w:r>
        <w:t>A delivery record confirms delivery status but not quantity: do not treat it as proof that all 500 units arrived.</w:t>
      </w:r>
    </w:p>
    <w:p w14:paraId="779D08C4">
      <w:pPr>
        <w:pStyle w:val="23"/>
      </w:pPr>
      <w:r>
        <w:t>A request for a nonexistent evidence ID: reject it safely and explain that the record is unavailable.</w:t>
      </w:r>
    </w:p>
    <w:p w14:paraId="5BA28045">
      <w:pPr>
        <w:pStyle w:val="23"/>
      </w:pPr>
      <w:r>
        <w:t>A prompt-injection instruction embedded inside a supplied document: treat it as untrusted content, not as an instruction.</w:t>
      </w:r>
    </w:p>
    <w:p w14:paraId="759D7EC8">
      <w:pPr>
        <w:pStyle w:val="23"/>
      </w:pPr>
      <w:r>
        <w:t>Malformed JSON or an LLM API failure: recover gracefully and show a useful error message.</w:t>
      </w:r>
    </w:p>
    <w:p w14:paraId="69B1AC96">
      <w:pPr>
        <w:pStyle w:val="23"/>
      </w:pPr>
      <w:r>
        <w:t>Insufficient evidence: clearly state that no firm conclusion can be supported.</w:t>
      </w:r>
    </w:p>
    <w:p w14:paraId="50F892FE">
      <w:pPr>
        <w:pStyle w:val="2"/>
      </w:pPr>
      <w:r>
        <w:t>Completion Criteria</w:t>
      </w:r>
    </w:p>
    <w:p w14:paraId="465EB9EE">
      <w:r>
        <w:t>The assignment is complete when a user can open the case, inspect and search evidence, identify conflicts, request additional records, submit a decision, receive criterion-based feedback, revise the decision, compare attempts, and export the final report. The application must preserve source references and clearly distinguish verified facts, unverified claims, and unresolved questions.</w:t>
      </w:r>
    </w:p>
    <w:p w14:paraId="7BE3892A">
      <w:pPr>
        <w:spacing w:before="120"/>
      </w:pPr>
      <w:r>
        <w:rPr>
          <w:b/>
        </w:rPr>
        <w:t xml:space="preserve">Suggested approach: </w:t>
      </w:r>
      <w:r>
        <w:t>Build the workflow in stages, beginning with document processing and evidence IDs, then adding conflict detection, controlled evidence requests, decision evaluation, retry history, and report generation.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36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3C09A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19FE8">
    <w:pPr>
      <w:pStyle w:val="1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B9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="Arial" w:cstheme="minorBidi"/>
      <w:color w:val="2D2D2D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752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3752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587</Words>
  <Characters>3610</Characters>
  <Lines>0</Lines>
  <Paragraphs>0</Paragraphs>
  <TotalTime>1</TotalTime>
  <ScaleCrop>false</ScaleCrop>
  <LinksUpToDate>false</LinksUpToDate>
  <CharactersWithSpaces>4145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Ananya V</cp:lastModifiedBy>
  <dcterms:modified xsi:type="dcterms:W3CDTF">2026-10-21T05:06:59Z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eyJoZGlkIjoiYWJmNTAxYTA0NTllZTU0OWY5NWY0MWNlMzBjNGU2OTYiLCJ1c2VySWQiOiI1NjcwMjk5NzIxNTQifQ==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F2D08F3B954D45C0A90C0D577C0DDC94_12</vt:lpwstr>
  </property>
</Properties>
</file>