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"/>
      </w:pPr>
      <w:r>
        <w:rPr>
          <w:rStyle w:val="Communicative"/>
        </w:rPr>
        <w:t>6. Le candidat pour les vœux.</w:t>
      </w:r>
    </w:p>
    <w:p>
      <w:pPr>
        <w:pStyle w:val="Otherparagraph"/>
      </w:pPr>
      <w:r>
        <w:rPr>
          <w:rStyle w:val="Tibetan"/>
        </w:rPr>
        <w:t>དྲུག་པ་གང་ལ་སྐྱེ་བའི་རྟེན་བཤད་པ་ནི།</w:t>
      </w:r>
      <w:r>
        <w:br/>
      </w:r>
      <w:r>
        <w:rPr>
          <w:rStyle w:val="Semantic"/>
        </w:rPr>
        <w:t>1. 6. Explication de qui est un support à la naissance (des voeux) (Qui peut recevoir les voeux).</w:t>
      </w:r>
    </w:p>
    <w:p>
      <w:pPr>
        <w:pStyle w:val="Com.paragraph"/>
      </w:pPr>
      <w:r>
        <w:rPr>
          <w:rStyle w:val="Communicative"/>
        </w:rPr>
        <w:t>« Bien qu’aucune discrimination n’est à faire en ce qui concerne les aspirants,</w:t>
        <w:br/>
        <w:t>Il est inapproprié de conférer les initiations à ceux qui ne peuvent même pas tenir les vœux ordinaires.</w:t>
        <w:br/>
        <w:t>A ceux-là, accordez leur seulement l’entrée dans le mandala. »</w:t>
      </w:r>
    </w:p>
    <w:p>
      <w:pPr>
        <w:pStyle w:val="Otherparagraph"/>
      </w:pPr>
      <w:r>
        <w:rPr>
          <w:rStyle w:val="Tibetan"/>
        </w:rPr>
        <w:t>སྐྱེ་བའི་རྟེན་ལ་བྱེ་བྲག་མ་མཆིས་ཀྱང༌། །</w:t>
      </w:r>
      <w:r>
        <w:br/>
      </w:r>
      <w:r>
        <w:rPr>
          <w:rStyle w:val="Semantic"/>
        </w:rPr>
        <w:t>2. Bien qu’aucune disrcimination n’est à faire en ce qui concerne les aspirants (litt. quand au support pour la naissance (des voeux) aucune distinction n’est faite, cependant,)</w:t>
        <w:br/>
      </w:r>
      <w:r>
        <w:rPr>
          <w:rStyle w:val="Tibetan"/>
        </w:rPr>
        <w:t>ཐུན་མོང་སྡོམ་ཙམ་འཛིན་པར་མི་ནུས་ན། །</w:t>
      </w:r>
      <w:r>
        <w:br/>
      </w:r>
      <w:r>
        <w:rPr>
          <w:rStyle w:val="Semantic"/>
        </w:rPr>
        <w:t xml:space="preserve">3. S’ils ne peuvent tenir ne serait-ce que les voeux ordinaires, </w:t>
        <w:br/>
      </w:r>
      <w:r>
        <w:rPr>
          <w:rStyle w:val="Tibetan"/>
        </w:rPr>
        <w:t>དབང་བསྐུར་མི་རུང་འཇུག་པ་ཙམ་ཞིག་སྦྱིན། །</w:t>
      </w:r>
      <w:r>
        <w:br/>
      </w:r>
      <w:r>
        <w:rPr>
          <w:rStyle w:val="Semantic"/>
        </w:rPr>
        <w:t>4. Il est inaproprié de leur conférer les initiations; accordez leur seulement l’entrée (dans le mandala).</w:t>
      </w:r>
    </w:p>
    <w:p>
      <w:pPr>
        <w:pStyle w:val="Com.paragraph"/>
      </w:pPr>
      <w:r>
        <w:rPr>
          <w:rStyle w:val="Communicative"/>
        </w:rPr>
        <w:t xml:space="preserve">Le principal critère d’indentification d’un candidat aux vœux du mantra est qu’il soit un humain au corps doté des six éléments [51]. Il ne faut faire aucune distinction basée sur le karma, le statut social etc. </w:t>
      </w:r>
    </w:p>
    <w:p>
      <w:pPr>
        <w:pStyle w:val="Otherparagraph"/>
      </w:pPr>
      <w:r>
        <w:rPr>
          <w:rStyle w:val="Tibetan"/>
        </w:rPr>
        <w:t>སྔགས་སྡོམ་སྐྱེ་བའི་རྟེན་ནི་</w:t>
      </w:r>
      <w:r>
        <w:br/>
      </w:r>
      <w:r>
        <w:rPr>
          <w:rStyle w:val="Semantic"/>
        </w:rPr>
        <w:t xml:space="preserve">5. Le candidat aux voeux tantriques (litt. le support en lequel les voeux tantriques peuvent prendre naissance)(l’individu support pour la naissance des voeux tantriques) </w:t>
        <w:br/>
      </w:r>
      <w:r>
        <w:rPr>
          <w:rStyle w:val="Tibetan"/>
        </w:rPr>
        <w:t>གཙོ་བོར་ཁམས་དྲུག་ལྡན་པའི་མིའི་ལུས་རྟེན་ཅན་དུ་གཟུང་དགོས་ཤིང༌། དེ་ལའང་ལས་དང་རིགས་བཟང་ངན་ལ་སོགས་པའི་བྱེ་བྲག་གི་ཁྱད་པར་མ་མཆིས་ཏེ།</w:t>
      </w:r>
      <w:r>
        <w:br/>
      </w:r>
      <w:r>
        <w:rPr>
          <w:rStyle w:val="Semantic"/>
        </w:rPr>
        <w:t>6. est considéré comme tel quand, principalement(la plus important), il possède un corps humain doté des six éléments. De plus, aucune distinction spécifique relative (basée sur) à leur karma, à leur niveau de social (litt. leur bonne ou mauvaise caste) etc. n’est à faire. En effet,</w:t>
      </w:r>
    </w:p>
    <w:p>
      <w:pPr>
        <w:pStyle w:val="Com.paragraph"/>
      </w:pPr>
      <w:r>
        <w:rPr>
          <w:rStyle w:val="Communicative"/>
        </w:rPr>
        <w:t>Tantra du Bouddha Sacré Primordial (Tantra de Kalachakra) [52] dit en effet :</w:t>
        <w:br/>
        <w:br/>
        <w:t>« Un rempailleur ou autre intouchable,</w:t>
        <w:br/>
        <w:t>Même s’il a accompli l’un des cinq actes aux conséquences immédiates,</w:t>
        <w:br/>
        <w:t>S’il adopte la conduite des mantras,</w:t>
        <w:br/>
        <w:t>En cette vie même, il deviendra Bouddha. »</w:t>
      </w:r>
    </w:p>
    <w:p>
      <w:pPr>
        <w:pStyle w:val="Otherparagraph"/>
      </w:pPr>
      <w:r>
        <w:rPr>
          <w:rStyle w:val="Tibetan"/>
        </w:rPr>
        <w:t>དམ་པ་དང་པོའི་རྒྱུད་ལས།</w:t>
      </w:r>
      <w:r>
        <w:br/>
      </w:r>
      <w:r>
        <w:rPr>
          <w:rStyle w:val="Semantic"/>
        </w:rPr>
        <w:t>7. Tantra du Bouddha Sacré Primordial (Tantra de Kalachakra) dit :</w:t>
        <w:br/>
      </w:r>
      <w:r>
        <w:rPr>
          <w:rStyle w:val="Tibetan"/>
        </w:rPr>
        <w:t>གདོལ་པ་སྨྱིག་མ་མཁན་ལ་སོགས། །མཚམས་མེད་ལྔ་ནི་བྱེད་པ་ཡང༌། །</w:t>
      </w:r>
      <w:r>
        <w:br/>
      </w:r>
      <w:r>
        <w:rPr>
          <w:rStyle w:val="Semantic"/>
        </w:rPr>
        <w:t>8. "Même s’il a accompli l’un des cinq actes aux conséquences immédiates, Un rempailleur ou autre intouchable,</w:t>
        <w:br/>
      </w:r>
      <w:r>
        <w:rPr>
          <w:rStyle w:val="Tibetan"/>
        </w:rPr>
        <w:t>སྔགས་ཀྱི་སྤྱོད་པ་རྗེས་སྤྱད་ན། །</w:t>
      </w:r>
      <w:r>
        <w:br/>
      </w:r>
      <w:r>
        <w:rPr>
          <w:rStyle w:val="Semantic"/>
        </w:rPr>
        <w:t>9. S’il adopte la conduite des mantras,</w:t>
        <w:br/>
      </w:r>
      <w:r>
        <w:rPr>
          <w:rStyle w:val="Tibetan"/>
        </w:rPr>
        <w:t>ཚེ་འདི་ཉིད་ལ་སངས་རྒྱས་འགྲུབ། །</w:t>
      </w:r>
      <w:r>
        <w:br/>
      </w:r>
      <w:r>
        <w:rPr>
          <w:rStyle w:val="Semantic"/>
        </w:rPr>
        <w:t>10. En cette vie même, deviendra Bouddha.”</w:t>
      </w:r>
    </w:p>
    <w:p>
      <w:pPr>
        <w:pStyle w:val="Com.paragraph"/>
      </w:pPr>
      <w:r>
        <w:rPr>
          <w:rStyle w:val="Communicative"/>
        </w:rPr>
        <w:t>Ce Tantra relate aussi qu’ à Oddiyana, on conféra des initiations au Nagas [53].</w:t>
        <w:br/>
        <w:t>Dans les Tantras, les dieux, les demi-dieux etc., font partis des réceptacles adéquates à l’écoute des Tantras. Par conséquent, il est dit que toute individu ayant la foi et aspirant aux Tantras doivent être acceptés. Cependant, si leurs détermination est faible – s’ils ne peuvent même pas tenir les vœux communs de libération individuelle et de l’esprit d’éveil comme par exemple, les vœux d’un jour ou celui de l’esprit d’éveil en aspiration-, il est inapproprié de leur conférer des initiations. Cependant, s’ils le souhaitent, on leur accorde seulement l’entrée dans le mandala car cela deviendra une cause à leur parfaite libération.</w:t>
      </w:r>
    </w:p>
    <w:p>
      <w:pPr>
        <w:pStyle w:val="Otherparagraph"/>
      </w:pPr>
      <w:r>
        <w:rPr>
          <w:rStyle w:val="Tibetan"/>
        </w:rPr>
        <w:t>ཅེས་གསུངས་པ་དང༌།</w:t>
      </w:r>
      <w:r>
        <w:br/>
      </w:r>
      <w:r>
        <w:rPr>
          <w:rStyle w:val="Semantic"/>
        </w:rPr>
        <w:t xml:space="preserve">11. Ce qui est dit et aussi, </w:t>
        <w:br/>
      </w:r>
      <w:r>
        <w:rPr>
          <w:rStyle w:val="Tibetan"/>
        </w:rPr>
        <w:t>ཨོ་རྒྱན་གྱི་གནས་སུ་ཀླུ་རྣམས་ལ་དབང་བསྐུར་བར་བཤད་པ་དང༌། རྒྱུད་སྡེ་རྣམས་ལས་ལྷ་དང་ལྷ་མིན་ལ་སོགས་པ་རྒྱུད་མཉན་པའི་སྣོད་དུ་བསྡུས་པས་</w:t>
      </w:r>
      <w:r>
        <w:br/>
      </w:r>
      <w:r>
        <w:rPr>
          <w:rStyle w:val="Semantic"/>
        </w:rPr>
        <w:t>12. (ce tantra) relate (enseigne) (l’histoire) où, à Oddiyana, on conféra des initiations au Nagas. Et dans les Tantras les dieux et les demi-dieux etc font partis (litt. sont inclus parmi) des récéptacles (adéquates) à l’écoute des Tantras. Par conséquent,</w:t>
        <w:br/>
      </w:r>
      <w:r>
        <w:rPr>
          <w:rStyle w:val="Tibetan"/>
        </w:rPr>
        <w:t>དད་ཅིང་མོས་པ་ཐམས་ཅད་རྗེས་སུ་བཟུང་བར་བྱ་བར་གསུངས་ཀྱང༌།</w:t>
      </w:r>
      <w:r>
        <w:br/>
      </w:r>
      <w:r>
        <w:rPr>
          <w:rStyle w:val="Semantic"/>
        </w:rPr>
        <w:t>13. il est dit que toute individu ayant la foi et y aspirant doivent être accéptés. Cependant,</w:t>
        <w:br/>
      </w:r>
      <w:r>
        <w:rPr>
          <w:rStyle w:val="Tibetan"/>
        </w:rPr>
        <w:t>བསྙེན་གནས་དང་སྨོན་སེམས་ཀྱིས་མཚོན། ཐུན་མོང་སོ་བྱང་གི་སྡོམ་པ་ཙམ་ཡང་འཛིན་པར་མི་ནུས་པའི་བློ་སྟོབས་དམན་ན་</w:t>
      </w:r>
      <w:r>
        <w:br/>
      </w:r>
      <w:r>
        <w:rPr>
          <w:rStyle w:val="Semantic"/>
        </w:rPr>
        <w:t>14. Si leurs détermination est faible -s’ils ne peuvent même pas tenir les voeux communs (a tous les voeux) de libération individuelle et (ceux communs à tous les voeux)de l’esprit d’éveil comme par exemple, les voeux d’un jour (litt. présent à coté, ’’en présence’’) ou celui de l’esprit d’éveil en aspiraton,</w:t>
        <w:br/>
      </w:r>
      <w:r>
        <w:rPr>
          <w:rStyle w:val="Tibetan"/>
        </w:rPr>
        <w:t>དབང་བསྐུར་དུ་མི་རུང་ཡང་དོན་དུ་གཉེར་ན་འཇུག་པ་ཙམ་ཞིག་ནི་སྦྱིན་པར་བྱ་སྟེ།</w:t>
      </w:r>
      <w:r>
        <w:br/>
      </w:r>
      <w:r>
        <w:rPr>
          <w:rStyle w:val="Semantic"/>
        </w:rPr>
        <w:t>15. il est innaproprié de leur conférer des initiations, mais s’ils le souhaitent (s’ils sont intéressé), on leur accorde seulement l’entrée (dans le mandala). En effet,</w:t>
        <w:br/>
      </w:r>
      <w:r>
        <w:rPr>
          <w:rStyle w:val="Tibetan"/>
        </w:rPr>
        <w:t>དེ་ལས་དེ་ཉིད་ཀྱི་རྣམ་པར་གྲོལ་བའི་རྒྱུར་འགྱུར་རོ། །</w:t>
      </w:r>
      <w:r>
        <w:br/>
      </w:r>
      <w:r>
        <w:rPr>
          <w:rStyle w:val="Semantic"/>
        </w:rPr>
        <w:t>16. cela deviendra une cause à leur parfaite libération.</w:t>
      </w:r>
    </w:p>
    <w:p>
      <w:pPr>
        <w:pStyle w:val="Com.paragraph"/>
      </w:pPr>
      <w:r>
        <w:rPr>
          <w:rStyle w:val="Communicative"/>
        </w:rPr>
        <w:t>Dans la même veine, La Pointe Vajra dit [54] :</w:t>
        <w:br/>
        <w:br/>
        <w:t>« A celui qui n’a pas pris de vœux,</w:t>
        <w:br/>
        <w:t>Sans foi et très difficile à discipliner</w:t>
        <w:br/>
        <w:t>Accordez lui seulement l’entrée</w:t>
        <w:br/>
        <w:t>Mais ne lui conférez pas l’initiation principale… » »</w:t>
        <w:br/>
        <w:t>Puis [55],</w:t>
        <w:br/>
        <w:t>“A la vue du Mandala</w:t>
        <w:br/>
        <w:t xml:space="preserve"> Les vœux deviendront purs”.</w:t>
      </w:r>
    </w:p>
    <w:p>
      <w:pPr>
        <w:pStyle w:val="Otherparagraph"/>
      </w:pPr>
      <w:r>
        <w:rPr>
          <w:rStyle w:val="Tibetan"/>
        </w:rPr>
        <w:t>དེ་ལྟར་ཡང་རྡོ་རྗེ་རྩེ་མོ་ལས།</w:t>
      </w:r>
      <w:r>
        <w:br/>
      </w:r>
      <w:r>
        <w:rPr>
          <w:rStyle w:val="Semantic"/>
        </w:rPr>
        <w:t>17. Dans la même veine, La Pointe Vajra dit :</w:t>
        <w:br/>
      </w:r>
      <w:r>
        <w:rPr>
          <w:rStyle w:val="Tibetan"/>
        </w:rPr>
        <w:t>གང་ཞིག་སྡོམ་པ་མི་ལེན་ཞིང༌། །</w:t>
      </w:r>
      <w:r>
        <w:br/>
      </w:r>
      <w:r>
        <w:rPr>
          <w:rStyle w:val="Semantic"/>
        </w:rPr>
        <w:t xml:space="preserve">18. "Celui qui n’a pas pris de voeux et, </w:t>
        <w:br/>
      </w:r>
      <w:r>
        <w:rPr>
          <w:rStyle w:val="Tibetan"/>
        </w:rPr>
        <w:t>ཤིན་ཏུ་གདུལ་དཀའ་དད་མེད་ལ། །གཞུག་པ་ཙམ་ནི་སྦྱིན་པར་བྱ། །</w:t>
      </w:r>
      <w:r>
        <w:br/>
      </w:r>
      <w:r>
        <w:rPr>
          <w:rStyle w:val="Semantic"/>
        </w:rPr>
        <w:t>19. qui sont très difficile à discipliner et n’ont pas de foi, accordez leur seulement l’entrée.</w:t>
        <w:br/>
      </w:r>
      <w:r>
        <w:rPr>
          <w:rStyle w:val="Tibetan"/>
        </w:rPr>
        <w:t>དེ་ལ་ལས་ནི་མི་བྱའོ། །</w:t>
      </w:r>
      <w:r>
        <w:br/>
      </w:r>
      <w:r>
        <w:rPr>
          <w:rStyle w:val="Semantic"/>
        </w:rPr>
        <w:t>20. Ne leur conféréz pas l’initiation principale.”</w:t>
        <w:br/>
      </w:r>
      <w:r>
        <w:rPr>
          <w:rStyle w:val="Tibetan"/>
        </w:rPr>
        <w:t>ཞེས་དང༌།</w:t>
      </w:r>
      <w:r>
        <w:br/>
      </w:r>
      <w:r>
        <w:rPr>
          <w:rStyle w:val="Semantic"/>
        </w:rPr>
        <w:t>21. puis,</w:t>
      </w:r>
    </w:p>
    <w:p>
      <w:pPr>
        <w:pStyle w:val="Com.paragraph"/>
      </w:pPr>
      <w:r>
        <w:rPr>
          <w:rStyle w:val="Communicative"/>
        </w:rPr>
        <w:t>Ceci ainsi que d’autres choses sont dites et expriment ce point.</w:t>
      </w:r>
    </w:p>
    <w:p>
      <w:pPr>
        <w:pStyle w:val="Otherparagraph"/>
      </w:pPr>
      <w:r>
        <w:rPr>
          <w:rStyle w:val="Tibetan"/>
        </w:rPr>
        <w:t>མཐོང་བ་ཙམ་གྱི་མོད་ལ་ནི། །སྡོམ་པ་དག་པར་འགྱུར་བ་ཡིན། །</w:t>
      </w:r>
      <w:r>
        <w:br/>
      </w:r>
      <w:r>
        <w:rPr>
          <w:rStyle w:val="Semantic"/>
        </w:rPr>
        <w:t>22. “Dès qu’il l’auront vu (le mandala), les voeux deviennent purs”.</w:t>
        <w:br/>
      </w:r>
      <w:r>
        <w:rPr>
          <w:rStyle w:val="Tibetan"/>
        </w:rPr>
        <w:t>ཅེས་སོགས་གསུངས་པས་སོ། །</w:t>
      </w:r>
      <w:r>
        <w:br/>
      </w:r>
      <w:r>
        <w:rPr>
          <w:rStyle w:val="Semantic"/>
        </w:rPr>
        <w:t>23. Ceci etc. (ainsi que d’autres choses) sont dites et expriment ce point.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ibetan">
    <w:name w:val="Tibetan"/>
    <w:rPr>
      <w:rFonts w:ascii="Monlam Uni OuChan2" w:hAnsi="Monlam Uni OuChan2"/>
      <w:sz w:val="24"/>
    </w:rPr>
  </w:style>
  <w:style w:type="character" w:customStyle="1" w:styleId="PeydurmaNotes">
    <w:name w:val="Peydurma Notes"/>
    <w:rPr>
      <w:rFonts w:ascii="Monlam Uni OuChan2" w:hAnsi="Monlam Uni OuChan2"/>
      <w:color w:val="708090"/>
      <w:vertAlign w:val="subscript"/>
    </w:rPr>
  </w:style>
  <w:style w:type="character" w:customStyle="1" w:styleId="Communicative">
    <w:name w:val="Communicative"/>
    <w:rPr>
      <w:rFonts w:ascii="Gentium Book Basic" w:hAnsi="Gentium Book Basic"/>
      <w:sz w:val="24"/>
    </w:rPr>
  </w:style>
  <w:style w:type="character" w:customStyle="1" w:styleId="Semantic">
    <w:name w:val="Semantic"/>
    <w:basedOn w:val="Normal"/>
    <w:rPr>
      <w:rFonts w:ascii="Lato Light" w:hAnsi="Lato Light"/>
      <w:sz w:val="20"/>
    </w:rPr>
  </w:style>
  <w:style w:type="paragraph" w:customStyle="1" w:styleId="Com.paragraph">
    <w:name w:val="Com. paragraph"/>
    <w:pPr>
      <w:spacing w:before="0" w:after="0"/>
    </w:pPr>
  </w:style>
  <w:style w:type="paragraph" w:customStyle="1" w:styleId="Otherparagraph">
    <w:name w:val="Other paragraph"/>
    <w:pPr>
      <w:spacing w:before="0" w:after="567" w:line="0" w:lineRule="auto"/>
      <w:ind w:left="283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