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3. Les vingt huit chute mineures</w:t>
        <w:br/>
        <w:t>“Quinze en lien avec les activités sacrées et sept branches”.</w:t>
      </w:r>
    </w:p>
    <w:p>
      <w:pPr>
        <w:pStyle w:val="Com.paragraphtrans"/>
      </w:pPr>
      <w:r>
        <w:rPr>
          <w:rStyle w:val="Communicative"/>
        </w:rPr>
        <w:t xml:space="preserve">Les quinze chutes en lien avec les activités sacrées à accomplir sont selon Lopon Ashvaghosha: </w:t>
        <w:br/>
        <w:t xml:space="preserve">1. préférer une autre divinité à celle sur laquelle la fleur est tombée (lors de l’initiation, quand on jette la fleur dans le mandala) ; </w:t>
      </w:r>
    </w:p>
    <w:p>
      <w:pPr>
        <w:pStyle w:val="Com.paragraphtrans"/>
      </w:pPr>
      <w:r>
        <w:rPr>
          <w:rStyle w:val="Communicative"/>
        </w:rPr>
        <w:t>2. ne pas respecter les période du jour et de la nuit attitrées à la pratique de des phases de création et de perfection de sa divinité;</w:t>
        <w:br/>
        <w:t>3. être attiré par les divinités des religions non bouddhistes ;</w:t>
        <w:br/>
        <w:t>4. considérer comme réel les visualisations de la phase de création ;</w:t>
        <w:br/>
        <w:t>5. conférer une initiation sans l’avoir soi-même recu dans son intégralité ;</w:t>
        <w:br/>
        <w:t>6. révéler le sens profond pour en tirer un bienfait dans cette vie ;</w:t>
        <w:br/>
        <w:t>7. manquer de considération envers les pratiques des véhicules inférieures ;</w:t>
        <w:br/>
        <w:t>8. Prétendre être ce que l’on est pas spirituellement ;</w:t>
        <w:br/>
        <w:t>9. s’engager des les activités sacrées sans en avoir la capacité ;</w:t>
        <w:br/>
        <w:t>10. perdre son temps dans des distractions vide de sens ;</w:t>
        <w:br/>
        <w:t>11. ne apporter de l’aide alors qu’on en a la capacité ;</w:t>
        <w:br/>
        <w:t>12. être attiré par les conduites éthiques des véhicules inférieurs ;</w:t>
        <w:br/>
        <w:t>13. être attaché aux bien matériels ;</w:t>
        <w:br/>
        <w:t>14. ne pas discipliner ceux qui manquent à leurs liens sacrés ;</w:t>
        <w:br/>
        <w:t>15. s’engager dans une conduite tantrique alors que ce n’est pas le bon moment.</w:t>
      </w:r>
    </w:p>
    <w:p>
      <w:pPr>
        <w:pStyle w:val="Com.paragraphtrans"/>
      </w:pPr>
      <w:r>
        <w:rPr>
          <w:rStyle w:val="Communicative"/>
        </w:rPr>
        <w:t>Les sept branches sont :</w:t>
        <w:br/>
        <w:t>1. s’en remettre à un maître authentique ;</w:t>
        <w:br/>
        <w:t>2. examiner les disciple-receptacles à accepter et à rejeter ;</w:t>
        <w:br/>
        <w:t xml:space="preserve">3. ne pas nuire a aucune créature afin d’accomplir ce à quoi on aspire ; </w:t>
        <w:br/>
        <w:t>4. ne pas utiliser les biens et possessions des trois joyaux ;</w:t>
        <w:br/>
        <w:t>5. faire le bien des autres ;</w:t>
        <w:br/>
        <w:t>6. sceller par la dédicace ;</w:t>
        <w:br/>
        <w:t>7. savoir appliquer la technique du transfert (de conscience).</w:t>
      </w:r>
    </w:p>
    <w:p>
      <w:pPr>
        <w:pStyle w:val="Com.paragraphtrans"/>
      </w:pPr>
      <w:r>
        <w:rPr>
          <w:rStyle w:val="Communicative"/>
        </w:rPr>
        <w:t>Les six erreures sont :</w:t>
        <w:br/>
        <w:t>1. douter du Mantrayana ;</w:t>
        <w:br/>
        <w:t>2. enseigner les trois véhicules simultanément au lieu de les enseigner dans l’ordre ;</w:t>
        <w:br/>
        <w:t>3. agir en tant que Maître Vajra sans connaître les dix domaines essentiels ; 4. ne pas avoir les compétence pour discerner les forces démoniaques ;</w:t>
        <w:br/>
        <w:t>5 ne pas examiner si les liens sacrés sont tenus ou pas ;</w:t>
        <w:br/>
        <w:t xml:space="preserve">6. ne pas confesser les fautes minimes. </w:t>
      </w:r>
    </w:p>
    <w:p>
      <w:pPr>
        <w:pStyle w:val="Com.paragraphtrans"/>
      </w:pPr>
      <w:r>
        <w:rPr>
          <w:rStyle w:val="Communicative"/>
        </w:rPr>
        <w:t xml:space="preserve">Le Tantra de Yamari rouge et le Tantra de Yamari noir enseignent quatre chutes secondaire : </w:t>
        <w:br/>
        <w:t>« Le Yogi ne mendie pas n’importe où ;</w:t>
        <w:br/>
        <w:t>Il n’abandonne jamais sa pratique ;</w:t>
        <w:br/>
        <w:t>Il récite toujours et de de manière continue son mantra ;</w:t>
        <w:br/>
        <w:t>Il s’en tient toujours à ses liens sacrés. 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