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D’autres classification comme celle selon les quatre initiations</w:t>
      </w:r>
    </w:p>
    <w:p>
      <w:pPr>
        <w:pStyle w:val="Com.paragraphtrans"/>
      </w:pPr>
      <w:r>
        <w:rPr>
          <w:rStyle w:val="Communicative"/>
        </w:rPr>
        <w:t>“Les tantras proposent nombreuses classifications des liens sacrés : selon les quatre initiations etc.”</w:t>
      </w:r>
    </w:p>
    <w:p>
      <w:pPr>
        <w:pStyle w:val="Com.paragraphtrans"/>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Plus spécifiquement, les intructions orales de La Voie et son Résultat (217) enseignent cinq liens sacrés pour chacune des quatre initiation.</w:t>
      </w:r>
    </w:p>
    <w:p>
      <w:pPr>
        <w:pStyle w:val="Com.paragraphtrans"/>
      </w:pPr>
      <w:r>
        <w:rPr>
          <w:rStyle w:val="Communicative"/>
        </w:rPr>
        <w:t>A. Pour l’initiation du vase</w:t>
      </w:r>
    </w:p>
    <w:p>
      <w:pPr>
        <w:pStyle w:val="Com.paragraphtrans"/>
      </w:pPr>
      <w:r>
        <w:rPr>
          <w:rStyle w:val="Communicative"/>
        </w:rPr>
        <w:t>1. le lien sacré du repos stable : méditer la phase de création ;</w:t>
        <w:br/>
        <w:t>2. le lien sacré pour la conduite post-repos stable : pratiquer les trois essences ; (218)</w:t>
        <w:br/>
        <w:t xml:space="preserve">3. le lien sacré en lien avec l’alimentation : absorber les pillules faites des cinq viandes et des cinq nectar ; </w:t>
        <w:br/>
        <w:br/>
        <w:t>4. les liens sacrés à préserver : les vingt deux liens sacrés racine et secondaires ; (219)</w:t>
        <w:br/>
        <w:t>5. le lien sacré relatif à ce dont on ne doit pas se séparer : garder son vajra et sa cloche.</w:t>
      </w:r>
    </w:p>
    <w:p>
      <w:pPr>
        <w:pStyle w:val="Com.paragraphtrans"/>
      </w:pPr>
      <w:r>
        <w:rPr>
          <w:rStyle w:val="Communicative"/>
        </w:rPr>
        <w:t>B. Pour l’initation secréte</w:t>
        <w:br/>
        <w:t>1. le lien sacré du repos stable : pratiquer avec les cannaux et les énergies; (220)</w:t>
        <w:br/>
        <w:t>2. le lien sacré pour la conduite post-repos stable : demeurer dans l’a sagesse primordiale spontanée; (221)</w:t>
        <w:br/>
        <w:t xml:space="preserve">3. le lien sacré en lien avec l’alimentation : se nourrir de la vacuité-clarté; </w:t>
        <w:br/>
        <w:br/>
        <w:t xml:space="preserve">4. le lien sacré à préserver : se préserver de tous ce qui va à l’encontre de la sagesse spontanée et des énergies; </w:t>
        <w:br/>
        <w:br/>
        <w:t>5. le lien sacré relatif à ce dont on ne doit pas se séparer : pratiquer les yoga doux ou violents utilisant les energies.</w:t>
      </w:r>
    </w:p>
    <w:p>
      <w:pPr>
        <w:pStyle w:val="Com.paragraphtrans"/>
      </w:pPr>
      <w:r>
        <w:rPr>
          <w:rStyle w:val="Communicative"/>
        </w:rPr>
        <w:t>C. Pour l’initation de connaissance sagesse</w:t>
      </w:r>
    </w:p>
    <w:p>
      <w:pPr>
        <w:pStyle w:val="Com.paragraphtrans"/>
      </w:pPr>
      <w:r>
        <w:rPr>
          <w:rStyle w:val="Communicative"/>
        </w:rPr>
        <w:t>1. le lien sacré du repos stable : méditer la roue du mandala ; (222)</w:t>
        <w:br/>
        <w:t>2. le lien sacré pour la conduite post-repos stable : demeurer dans la félicité de la sagesse primordiale co-émergeante; (223)</w:t>
        <w:br/>
        <w:t xml:space="preserve">3. le lien sacré en lien avec l’alimentation : se nourrir de la félicité ; </w:t>
        <w:br/>
        <w:br/>
        <w:t>4. le lien sacré à préserver : se préserver des six écoulement des gouttes principielles ; (224)</w:t>
        <w:br/>
        <w:t>5. le lien sacré relatif à ce dont on ne doit pas se séparer : la parèdre réelle ou celle de sagessecprimordiale (imaginée)</w:t>
      </w:r>
    </w:p>
    <w:p>
      <w:pPr>
        <w:pStyle w:val="Com.paragraphtrans"/>
      </w:pPr>
      <w:r>
        <w:rPr>
          <w:rStyle w:val="Communicative"/>
        </w:rPr>
        <w:t>.</w:t>
      </w:r>
    </w:p>
    <w:p>
      <w:pPr>
        <w:pStyle w:val="Com.paragraphtrans"/>
      </w:pPr>
      <w:r>
        <w:rPr>
          <w:rStyle w:val="Communicative"/>
        </w:rPr>
      </w:r>
    </w:p>
    <w:p>
      <w:pPr>
        <w:pStyle w:val="Com.paragraphtrans"/>
      </w:pPr>
      <w:r>
        <w:rPr>
          <w:rStyle w:val="Communicative"/>
        </w:rPr>
        <w:t>Ces liens sacrés sont honorés de quatre facons :</w:t>
        <w:br/>
        <w:t xml:space="preserve">a. en les faisant exister en soi tels qu’ils sont ; </w:t>
        <w:br/>
        <w:br/>
        <w:t xml:space="preserve">b. en se les remémorants un par un ; </w:t>
        <w:br/>
        <w:br/>
        <w:t xml:space="preserve">c. en en ayant une expérience directe au moins une fois; </w:t>
        <w:br/>
        <w:br/>
        <w:t xml:space="preserve">d. en ayant un respect particulier pour le Lama ; </w:t>
        <w:br/>
        <w:b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Com.paragraphtrans"/>
      </w:pPr>
      <w:r>
        <w:rPr>
          <w:rStyle w:val="Communicative"/>
        </w:rPr>
        <w:t>Le terme “etc” (dans le texte racine) réfère notament à ce que l’on trouve and le Samputa Tantra (228):</w:t>
      </w:r>
    </w:p>
    <w:p>
      <w:pPr>
        <w:pStyle w:val="Com.paragraphtrans"/>
      </w:pPr>
      <w:r>
        <w:rPr>
          <w:rStyle w:val="Communicative"/>
        </w:rPr>
        <w:t>« Ne pas méprisé les corps des hommes et des femmes</w:t>
        <w:br/>
        <w:t xml:space="preserve">Par qui ils accomplissent de nombreuses actions (karma) </w:t>
        <w:br/>
        <w:br/>
        <w:t xml:space="preserve">Même s’ils ignorent leur réalité : </w:t>
        <w:br/>
        <w:br/>
        <w:t>Tel est le lien sacré du Corps Adamantin.</w:t>
      </w:r>
    </w:p>
    <w:p>
      <w:pPr>
        <w:pStyle w:val="Com.paragraphtrans"/>
      </w:pPr>
      <w:r>
        <w:rPr>
          <w:rStyle w:val="Communicative"/>
        </w:rPr>
        <w:t>Ne pas laisser son esprit se faire tourmenté</w:t>
        <w:br/>
        <w:t xml:space="preserve">par les diverses souffrances des êtres </w:t>
        <w:br/>
        <w:br/>
        <w:t xml:space="preserve">Ni par le filet des conceptions mentales : </w:t>
        <w:br/>
        <w:br/>
        <w:t>Tel est le lien sacré de l’ Esprit Adamantin.</w:t>
      </w:r>
    </w:p>
    <w:p>
      <w:pPr>
        <w:pStyle w:val="Com.paragraphtrans"/>
      </w:pPr>
      <w:r>
        <w:rPr>
          <w:rStyle w:val="Communicative"/>
        </w:rPr>
        <w:t>Ne pas tenir de propos désagréables</w:t>
        <w:br/>
        <w:t xml:space="preserve">Quand perturbé par les deux types de jalousie, </w:t>
        <w:br/>
        <w:br/>
        <w:t xml:space="preserve">Mais parler de manière plaisante : </w:t>
        <w:br/>
        <w:br/>
        <w:t>Tel est le lien sacré de la Parole Adamantine. »</w:t>
      </w:r>
    </w:p>
    <w:p>
      <w:pPr>
        <w:pStyle w:val="Com.paragraphtrans"/>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 (229).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