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"/>
      </w:pPr>
      <w:r>
        <w:rPr>
          <w:rStyle w:val="Communicative"/>
        </w:rPr>
        <w:t>5. Les vingt liens sacrés en lien avec la pratique</w:t>
        <w:br/>
        <w:t>“Ne pas détruire” signifie ne pas détruire le trône du roi des animaux, le lion.”</w:t>
        <w:br/>
        <w:t>Le sens de cette phrase et des suivantes est en essence le même que celui des vingt liens sacrés exceptionnels (ceux en lien avec la pratique) mentionnés précédemment.(291bis)</w:t>
      </w:r>
    </w:p>
    <w:p>
      <w:pPr>
        <w:pStyle w:val="Otherparagraph"/>
      </w:pPr>
      <w:r>
        <w:rPr>
          <w:rStyle w:val="Tibetan"/>
        </w:rPr>
        <w:t>ལྔ་པ་ནི།</w:t>
      </w:r>
      <w:r>
        <w:br/>
      </w:r>
      <w:r>
        <w:rPr>
          <w:rStyle w:val="Semantic"/>
        </w:rPr>
        <w:t>1. 5.</w:t>
        <w:br/>
      </w:r>
      <w:r>
        <w:rPr>
          <w:rStyle w:val="Tibetan"/>
        </w:rPr>
        <w:t>མི་ཤིགས་པ་ནི་སེང་གེ་སྟེ། །གཅན་གཟན་རྒྱལ་པོའི་ཁྲི་མི་གཞིག །</w:t>
      </w:r>
      <w:r>
        <w:br/>
      </w:r>
      <w:r>
        <w:rPr>
          <w:rStyle w:val="Semantic"/>
        </w:rPr>
        <w:t>2. “Ne pas détruire c’est ne pas détruire le trône du roi des animaux, le lion.”</w:t>
        <w:br/>
      </w:r>
      <w:r>
        <w:rPr>
          <w:rStyle w:val="Tibetan"/>
        </w:rPr>
        <w:t>ཅེས་སོགས་གསུངས་པའི་དོན།</w:t>
      </w:r>
      <w:r>
        <w:br/>
      </w:r>
      <w:r>
        <w:rPr>
          <w:rStyle w:val="Semantic"/>
        </w:rPr>
        <w:t>3. Etc. Le sens est</w:t>
        <w:br/>
      </w:r>
      <w:r>
        <w:rPr>
          <w:rStyle w:val="Tibetan"/>
        </w:rPr>
        <w:t>སྔར་སྨོས་པའི་ལྷག་པའི་དམ་ཚིག་ཉི་ཤུ་དང་གནད་གཅིག་གོ །</w:t>
      </w:r>
      <w:r>
        <w:br/>
      </w:r>
      <w:r>
        <w:rPr>
          <w:rStyle w:val="Semantic"/>
        </w:rPr>
        <w:t>4. est en essence le même que les vingt liens sacrés exceptionels (en lien avec la pratique) mentionné précédement.</w:t>
      </w:r>
    </w:p>
    <w:p>
      <w:pPr>
        <w:pStyle w:val="Com.paragraph"/>
      </w:pPr>
      <w:r>
        <w:rPr>
          <w:rStyle w:val="Communicative"/>
        </w:rPr>
        <w:t>6. Quatre liens sacrés pour la conduite quotidienne</w:t>
        <w:br/>
        <w:br/>
        <w:t>Le vajra, l’armure, la dague (phurba), le grand katvangha etc. nous montrent qu’il faut tenir quatre liens sacrés: éliminer le sommeil tueur de la stabilité mentale, abandonner l’alcool, parler des mantras secrets en utilisant le langage symbolique et vaincre l’oisiveté (ou la paresse).</w:t>
      </w:r>
    </w:p>
    <w:p>
      <w:pPr>
        <w:pStyle w:val="Otherparagraph"/>
      </w:pPr>
      <w:r>
        <w:rPr>
          <w:rStyle w:val="Tibetan"/>
        </w:rPr>
        <w:t>དྲུག་པ་ནི།</w:t>
      </w:r>
      <w:r>
        <w:br/>
      </w:r>
      <w:r>
        <w:rPr>
          <w:rStyle w:val="Semantic"/>
        </w:rPr>
        <w:t>5. 6.</w:t>
        <w:br/>
      </w:r>
      <w:r>
        <w:rPr>
          <w:rStyle w:val="Tibetan"/>
        </w:rPr>
        <w:t>རྡོ་རྗེ་གོ་ཕུར་ཊྭཱཾ་ཆེན་སོགས་ཀྱིས་བསྟན་པའི་དོན།</w:t>
      </w:r>
      <w:r>
        <w:br/>
      </w:r>
      <w:r>
        <w:rPr>
          <w:rStyle w:val="Semantic"/>
        </w:rPr>
        <w:t>6. Le vajra, l’armure, la dague (phurba), le grand katvangha et d’autres nous montrent qu’il faut (tenir quatre liens sacrés):</w:t>
        <w:br/>
      </w:r>
      <w:r>
        <w:rPr>
          <w:rStyle w:val="Tibetan"/>
        </w:rPr>
        <w:t>བསམ་གཏན་གྱི་སྲོག་གཅོད་པ་གཉིད་དང༌།</w:t>
      </w:r>
      <w:r>
        <w:br/>
      </w:r>
      <w:r>
        <w:rPr>
          <w:rStyle w:val="Semantic"/>
        </w:rPr>
        <w:t xml:space="preserve">7. (Eliminer) le sommeil tueur de la stabilité mentale, </w:t>
        <w:br/>
      </w:r>
      <w:r>
        <w:rPr>
          <w:rStyle w:val="Tibetan"/>
        </w:rPr>
        <w:t>ཆང་སྤང་བ།</w:t>
      </w:r>
      <w:r>
        <w:br/>
      </w:r>
      <w:r>
        <w:rPr>
          <w:rStyle w:val="Semantic"/>
        </w:rPr>
        <w:t>8. Abandonner l’alcool,</w:t>
        <w:br/>
      </w:r>
      <w:r>
        <w:rPr>
          <w:rStyle w:val="Tibetan"/>
        </w:rPr>
        <w:t>གསང་སྔགས་བརྡ་སྐད་ཀྱིས་སྨྲ་བ།</w:t>
      </w:r>
      <w:r>
        <w:br/>
      </w:r>
      <w:r>
        <w:rPr>
          <w:rStyle w:val="Semantic"/>
        </w:rPr>
        <w:t>9. Parler des mantras secrets en utilisant le langage symbolique,</w:t>
        <w:br/>
      </w:r>
      <w:r>
        <w:rPr>
          <w:rStyle w:val="Tibetan"/>
        </w:rPr>
        <w:t>ལེ་ལོ་གཞོམ་པའོ། །</w:t>
      </w:r>
      <w:r>
        <w:br/>
      </w:r>
      <w:r>
        <w:rPr>
          <w:rStyle w:val="Semantic"/>
        </w:rPr>
        <w:t>10. Vaincre l’oisiveté (ou paresse).</w:t>
      </w:r>
    </w:p>
    <w:p>
      <w:pPr>
        <w:pStyle w:val="Com.paragraph"/>
      </w:pPr>
      <w:r>
        <w:rPr>
          <w:rStyle w:val="Communicative"/>
        </w:rPr>
        <w:t>7. Cinq liens sacrés pour contrecarrer les cinq démons</w:t>
        <w:br/>
        <w:t>Les cinq démons qui interrompent la continuité de la pratique yogique sont les pensées discursives, la paresse, les distractions futiles, les paroles dures et la colère. Ces liens sacrés consistent à les rejetter.</w:t>
      </w:r>
    </w:p>
    <w:p>
      <w:pPr>
        <w:pStyle w:val="Otherparagraph"/>
      </w:pPr>
      <w:r>
        <w:rPr>
          <w:rStyle w:val="Tibetan"/>
        </w:rPr>
        <w:t>བདུན་པ་ནི།</w:t>
      </w:r>
      <w:r>
        <w:br/>
      </w:r>
      <w:r>
        <w:rPr>
          <w:rStyle w:val="Semantic"/>
        </w:rPr>
        <w:t>11. 7.</w:t>
        <w:br/>
      </w:r>
      <w:r>
        <w:rPr>
          <w:rStyle w:val="Tibetan"/>
        </w:rPr>
        <w:t>རྣལ་འབྱོར་སྤྱོད་པ་ལ་རྒྱུན་གྱི་བར་དུ་གཅོད་པའི་བདུད་ལྔར་བཤད་པ།</w:t>
      </w:r>
      <w:r>
        <w:br/>
      </w:r>
      <w:r>
        <w:rPr>
          <w:rStyle w:val="Semantic"/>
        </w:rPr>
        <w:t xml:space="preserve">12. Exposé des cinq démons qui interrompent la continuité de la pratique yogique. </w:t>
        <w:br/>
      </w:r>
      <w:r>
        <w:rPr>
          <w:rStyle w:val="Tibetan"/>
        </w:rPr>
        <w:t>རྣམ་པར་རྟོག་པ་དང༌། ལེ་ལོ་དང༌། འདུ་འཛི་དང༌། ཚིག་རྩུབ་དང༌། ཁྲོ་གཏུམ་སྤང་བའོ། །</w:t>
      </w:r>
      <w:r>
        <w:br/>
      </w:r>
      <w:r>
        <w:rPr>
          <w:rStyle w:val="Semantic"/>
        </w:rPr>
        <w:t xml:space="preserve">13. Ce sont les pensées discursives, la paresse, les distractions futiles, le paroles dures et la colère. </w:t>
      </w:r>
    </w:p>
    <w:p>
      <w:pPr>
        <w:pStyle w:val="Com.paragraph"/>
      </w:pPr>
      <w:r>
        <w:rPr>
          <w:rStyle w:val="Communicative"/>
        </w:rPr>
        <w:t>8. Quatre liens sacré pour vaincre les quatre ennemis</w:t>
        <w:br/>
        <w:br/>
        <w:t xml:space="preserve">Les quatre ennemis à vaincre sont : </w:t>
        <w:br/>
        <w:t>a) l’ennemi qui fait de la vue, la méditation et l’action artificielle, la norme ;</w:t>
        <w:br/>
        <w:t>b) l’ennemi de l’immoralité d’une conduite outrageuse influencée par vue inférieure ;</w:t>
        <w:br/>
        <w:t xml:space="preserve">c) l’ennemi de la chute, qui fait endommager les liens sacrés racine et secondaires ; </w:t>
        <w:br/>
        <w:t xml:space="preserve">d) l’ennemi de la paresse par manque de vigilance qui dérobe le résultat. </w:t>
      </w:r>
    </w:p>
    <w:p>
      <w:pPr>
        <w:pStyle w:val="Otherparagraph"/>
      </w:pPr>
      <w:r>
        <w:rPr>
          <w:rStyle w:val="Tibetan"/>
        </w:rPr>
        <w:t>བརྒྱད་པ་ནི།</w:t>
      </w:r>
      <w:r>
        <w:br/>
      </w:r>
      <w:r>
        <w:rPr>
          <w:rStyle w:val="Semantic"/>
        </w:rPr>
        <w:t>14. 8.</w:t>
        <w:br/>
      </w:r>
      <w:r>
        <w:rPr>
          <w:rStyle w:val="Tibetan"/>
        </w:rPr>
        <w:t>ལྟ་སྒོམ་སྤྱོད་གསུམ་བཅོས་མ་རང་གར་ཤོར་བའི་དགྲ།</w:t>
      </w:r>
      <w:r>
        <w:br/>
      </w:r>
      <w:r>
        <w:rPr>
          <w:rStyle w:val="Semantic"/>
        </w:rPr>
        <w:t>15. L’énnemi qui fait de la vue, la méditation et l’action artificielle, la norme.</w:t>
        <w:br/>
      </w:r>
      <w:r>
        <w:rPr>
          <w:rStyle w:val="Tibetan"/>
        </w:rPr>
        <w:t>ལྟ་བ་དམན་ལ་སྤྱོད་པ་རྩིངས་པ་འཆལ་བའི་དགྲ།</w:t>
      </w:r>
      <w:r>
        <w:br/>
      </w:r>
      <w:r>
        <w:rPr>
          <w:rStyle w:val="Semantic"/>
        </w:rPr>
        <w:t xml:space="preserve">16. L’ennemi de l’immoralité d’une conduite outrageuse alors que l’on tiens une vue inférieure. </w:t>
        <w:br/>
      </w:r>
      <w:r>
        <w:rPr>
          <w:rStyle w:val="Tibetan"/>
        </w:rPr>
        <w:t>རྩ་བ་དང་ཡན་ལག་གི་དམ་ཚིག་ཉམས་པ་ལྟུང་བའི་དགྲ།</w:t>
      </w:r>
      <w:r>
        <w:br/>
      </w:r>
      <w:r>
        <w:rPr>
          <w:rStyle w:val="Semantic"/>
        </w:rPr>
        <w:t>17. L’ennemi de la chute, qui fait endomager les liens sacrés racine et secondaires.</w:t>
        <w:br/>
      </w:r>
      <w:r>
        <w:rPr>
          <w:rStyle w:val="Tibetan"/>
        </w:rPr>
        <w:t>ཚོད་ཡོད་ལེ་ལོས་འབྲས་བུ་འཕྲོག་པའི་དགྲ་སྟེ་བཞི་པོ་དེ་གཞོམ་པའོ། །</w:t>
      </w:r>
      <w:r>
        <w:br/>
      </w:r>
      <w:r>
        <w:rPr>
          <w:rStyle w:val="Semantic"/>
        </w:rPr>
        <w:t>18. L’ennemi de la paresse par manque de vigilance qui dérobe le résultat. Ces quatre ennemis sont a anéhentir.</w:t>
      </w:r>
    </w:p>
    <w:p>
      <w:pPr>
        <w:pStyle w:val="Com.paragraph"/>
      </w:pPr>
      <w:r>
        <w:rPr>
          <w:rStyle w:val="Communicative"/>
        </w:rPr>
        <w:t>9. Le lien sacré de la vue</w:t>
        <w:br/>
        <w:br/>
        <w:t>Le lien sacré de la vue consiste à réalise que le monde est le champ pur d’Akanishta(292) ; les plaisirs des sens dans leur pureté sont des objets d’offrandes ; notre entourage dans sa pureté et le mandala de la divinité ; les émotions perturbatrices dans leurs pureté sont la grande sagesse primordiale.</w:t>
        <w:br/>
        <w:br/>
        <w:t xml:space="preserve">On peut regrouper tous ces liens sacrés de l’Anuyoga Tantra en deux catégories : </w:t>
        <w:br/>
        <w:t xml:space="preserve">a) les liens sacrés immédiat (pour la réalisation immédiate) en lien avec la nature des phénomènes qui sont des liens sacrés sans limites définies (sans les contours ou limitations des règles à observer) </w:t>
        <w:br/>
        <w:br/>
        <w:t xml:space="preserve">b) et ceux aux limites définies qui sont les liens sacrés de compassion qui se référent aux vœux adoptés graduellement. </w:t>
      </w:r>
    </w:p>
    <w:p>
      <w:pPr>
        <w:pStyle w:val="Otherparagraph"/>
      </w:pPr>
      <w:r>
        <w:rPr>
          <w:rStyle w:val="Tibetan"/>
        </w:rPr>
        <w:t>དགུ་པ་ནི།</w:t>
      </w:r>
      <w:r>
        <w:br/>
      </w:r>
      <w:r>
        <w:rPr>
          <w:rStyle w:val="Semantic"/>
        </w:rPr>
        <w:t>19. 9.</w:t>
        <w:br/>
      </w:r>
      <w:r>
        <w:rPr>
          <w:rStyle w:val="Tibetan"/>
        </w:rPr>
        <w:t>སྣོད་རྣམ་པར་དག་པའི་འོག་མིན་གྱི་ཞིང༌།</w:t>
      </w:r>
      <w:r>
        <w:br/>
      </w:r>
      <w:r>
        <w:rPr>
          <w:rStyle w:val="Semantic"/>
        </w:rPr>
        <w:t>20. le monde est le champ pur d’Akanishta.</w:t>
        <w:br/>
      </w:r>
      <w:r>
        <w:rPr>
          <w:rStyle w:val="Tibetan"/>
        </w:rPr>
        <w:t>འདོད་ཡོན་རྣམ་པར་དག་པ་མཆོད་པའི་ཡོ་བྱད།</w:t>
      </w:r>
      <w:r>
        <w:br/>
      </w:r>
      <w:r>
        <w:rPr>
          <w:rStyle w:val="Semantic"/>
        </w:rPr>
        <w:t>21. Les plaisirs des sens dans leur pureté sont des objets d’offrandes.</w:t>
        <w:br/>
      </w:r>
      <w:r>
        <w:rPr>
          <w:rStyle w:val="Tibetan"/>
        </w:rPr>
        <w:t>འཁོར་རྣམ་པར་དག་པ་ལྷའི་དཀྱིལ་འཁོར།</w:t>
      </w:r>
      <w:r>
        <w:br/>
      </w:r>
      <w:r>
        <w:rPr>
          <w:rStyle w:val="Semantic"/>
        </w:rPr>
        <w:t>22. Notre entourage dans sa pureté et le mandala de la divinité.</w:t>
        <w:br/>
      </w:r>
      <w:r>
        <w:rPr>
          <w:rStyle w:val="Tibetan"/>
        </w:rPr>
        <w:t>ཉོན་མོངས་རྣམ་པར་དག་པ་ཡེ་ཤེས་ཆེན་པོར་རྟོགས་པའོ། །</w:t>
      </w:r>
      <w:r>
        <w:br/>
      </w:r>
      <w:r>
        <w:rPr>
          <w:rStyle w:val="Semantic"/>
        </w:rPr>
        <w:t>23. Les émotions perturbatrices dans leurs puerté sont la grande sagesse primordiale. Il faut réaliser cela.</w:t>
        <w:br/>
      </w:r>
      <w:r>
        <w:rPr>
          <w:rStyle w:val="Tibetan"/>
        </w:rPr>
        <w:t>དེ་དག་ཀྱང་བསྡུ་ན།</w:t>
      </w:r>
      <w:r>
        <w:br/>
      </w:r>
      <w:r>
        <w:rPr>
          <w:rStyle w:val="Semantic"/>
        </w:rPr>
        <w:t>24. On peut les (tous ces liens sacrés de l’Anu) regrouper (en deux catégories) :</w:t>
        <w:br/>
      </w:r>
      <w:r>
        <w:rPr>
          <w:rStyle w:val="Tibetan"/>
        </w:rPr>
        <w:t>བསྲུང་མཚམས་མེད་པ་ཆོས་ཉིད་ཅིག་ཅར་བའི་དམ་ཚིག་དང༌།</w:t>
      </w:r>
      <w:r>
        <w:br/>
      </w:r>
      <w:r>
        <w:rPr>
          <w:rStyle w:val="Semantic"/>
        </w:rPr>
        <w:t>25. Les liens sacrés immédiat de la nature des phénoménes, et sui sont sans limites définies (sans les contours des règles à observer) et</w:t>
        <w:br/>
      </w:r>
      <w:r>
        <w:rPr>
          <w:rStyle w:val="Tibetan"/>
        </w:rPr>
        <w:t>བསྲུང་མཚམས་ཡོད་པ་སྙིང་རྗེའི་དམ་ཚིག་རིམ་གྱིས་པའི་སྡོམ་པ་གཉིས་སུ་འདུ་བར་བཤད་དེ།</w:t>
      </w:r>
      <w:r>
        <w:br/>
      </w:r>
      <w:r>
        <w:rPr>
          <w:rStyle w:val="Semantic"/>
        </w:rPr>
        <w:t>26. ceux aux limites définies qui sont les liens sacrés de la compassion se référant a des voeux graduels. On les explique ainsi regroupés en deux catégories. On retrouve cela dans</w:t>
      </w:r>
    </w:p>
    <w:p>
      <w:pPr>
        <w:pStyle w:val="Com.paragraph"/>
      </w:pPr>
      <w:r>
        <w:rPr>
          <w:rStyle w:val="Communicative"/>
        </w:rPr>
        <w:t>Dans le Soutra global qui rassemble toutes les réalisations il est dit à leur sujet : (293)</w:t>
        <w:br/>
        <w:br/>
        <w:t xml:space="preserve">« Celui pour lequel il n’y a rien à observer </w:t>
        <w:br/>
        <w:t>Est le lien sacré pur de la nature des phénomènes. »</w:t>
        <w:br/>
        <w:t>puis, (294)</w:t>
        <w:br/>
        <w:t>« Ce lien sacré est extraordinaire,</w:t>
        <w:br/>
        <w:t>Parce qu’il se démarque de tous les autres.</w:t>
        <w:br/>
        <w:t>Les pratiquants à la faible aspiration,</w:t>
        <w:br/>
        <w:t>Doivent observer ceux dont les limites sont à observer. »</w:t>
      </w:r>
    </w:p>
    <w:p>
      <w:pPr>
        <w:pStyle w:val="Otherparagraph"/>
      </w:pPr>
      <w:r>
        <w:rPr>
          <w:rStyle w:val="Tibetan"/>
        </w:rPr>
        <w:t>སྤྱི་མདོ་ལས།</w:t>
      </w:r>
      <w:r>
        <w:br/>
      </w:r>
      <w:r>
        <w:rPr>
          <w:rStyle w:val="Semantic"/>
        </w:rPr>
        <w:t xml:space="preserve">27. Dans le Soutra global qui rassemble toutes les réalisations: </w:t>
        <w:br/>
      </w:r>
      <w:r>
        <w:rPr>
          <w:rStyle w:val="Tibetan"/>
        </w:rPr>
        <w:t>བསྲུང་བྱ་བསྲུང་དུ་མེད་པ་ནི། །ཆོས་ཉིད་དམ་ཚིག་དམ་པ་ཡིན། །</w:t>
      </w:r>
      <w:r>
        <w:br/>
      </w:r>
      <w:r>
        <w:rPr>
          <w:rStyle w:val="Semantic"/>
        </w:rPr>
        <w:t xml:space="preserve">28. Celui pour lequel il n’y a rien a observer est le lien sacré pur de la nature des phénomènes. </w:t>
        <w:br/>
      </w:r>
      <w:r>
        <w:rPr>
          <w:rStyle w:val="Tibetan"/>
        </w:rPr>
        <w:t>ཞེས་དང༌། དམ་ཚིག་འདི་ནི་རྨད་པོ་ཆེ། །ཀུན་གྱི་ཐུན་མོང་མ་ཡིན་ཕྱིར། །</w:t>
      </w:r>
      <w:r>
        <w:br/>
      </w:r>
      <w:r>
        <w:rPr>
          <w:rStyle w:val="Semantic"/>
        </w:rPr>
        <w:t xml:space="preserve">29. puis, Ce lien sacré est extraordinaire, parce qu’il se démarque de tous les autres, </w:t>
        <w:br/>
      </w:r>
      <w:r>
        <w:rPr>
          <w:rStyle w:val="Tibetan"/>
        </w:rPr>
        <w:t>མོས་པ་ཆུང་ངུ་ཐམས་ཅད་ལ། །བསྲུང་བའི་མཚམས་དག་བཟུང་བར་བྱ། །</w:t>
      </w:r>
      <w:r>
        <w:br/>
      </w:r>
      <w:r>
        <w:rPr>
          <w:rStyle w:val="Semantic"/>
        </w:rPr>
        <w:t xml:space="preserve">30. ceux à la faible aspiration, doivent observer ceux avec limites a observer. </w:t>
        <w:br/>
      </w:r>
      <w:r>
        <w:rPr>
          <w:rStyle w:val="Tibetan"/>
        </w:rPr>
        <w:t>ཞེས་སོ། །</w:t>
      </w:r>
      <w:r>
        <w:br/>
      </w:r>
      <w:r>
        <w:rPr>
          <w:rStyle w:val="Semantic"/>
        </w:rPr>
        <w:t>31. C’est ce qui est dit.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betan">
    <w:name w:val="Tibetan"/>
    <w:rPr>
      <w:rFonts w:ascii="Monlam Uni OuChan2" w:hAnsi="Monlam Uni OuChan2"/>
      <w:sz w:val="24"/>
    </w:rPr>
  </w:style>
  <w:style w:type="character" w:customStyle="1" w:styleId="PeydurmaNotes">
    <w:name w:val="Peydurma Notes"/>
    <w:rPr>
      <w:rFonts w:ascii="Monlam Uni OuChan2" w:hAnsi="Monlam Uni OuChan2"/>
      <w:color w:val="708090"/>
      <w:vertAlign w:val="subscript"/>
    </w:rPr>
  </w:style>
  <w:style w:type="character" w:customStyle="1" w:styleId="Communicative">
    <w:name w:val="Communicative"/>
    <w:rPr>
      <w:rFonts w:ascii="Gentium Book Basic" w:hAnsi="Gentium Book Basic"/>
      <w:sz w:val="24"/>
    </w:rPr>
  </w:style>
  <w:style w:type="character" w:customStyle="1" w:styleId="Semantic">
    <w:name w:val="Semantic"/>
    <w:basedOn w:val="Normal"/>
    <w:rPr>
      <w:rFonts w:ascii="Lato Light" w:hAnsi="Lato Light"/>
      <w:sz w:val="20"/>
    </w:rPr>
  </w:style>
  <w:style w:type="paragraph" w:customStyle="1" w:styleId="Com.paragraph">
    <w:name w:val="Com. paragraph"/>
    <w:pPr>
      <w:spacing w:before="0" w:after="0"/>
    </w:pPr>
  </w:style>
  <w:style w:type="paragraph" w:customStyle="1" w:styleId="Otherparagraph">
    <w:name w:val="Other paragraph"/>
    <w:pPr>
      <w:spacing w:before="0" w:after="567" w:line="0" w:lineRule="auto"/>
      <w:ind w:left="28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