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Evaluation et restaurarion des liens sacrés</w:t>
      </w:r>
    </w:p>
    <w:p>
      <w:pPr>
        <w:pStyle w:val="Com.paragraphtrans"/>
      </w:pPr>
      <w:r>
        <w:rPr>
          <w:rStyle w:val="Communicative"/>
        </w:rPr>
        <w:t>Cette section se compose de deux parties : l’évaluation de la chute et sa restauration.</w:t>
      </w:r>
    </w:p>
    <w:p>
      <w:pPr>
        <w:pStyle w:val="Com.paragraphtrans"/>
      </w:pPr>
      <w:r>
        <w:rPr>
          <w:rStyle w:val="Communicative"/>
        </w:rPr>
        <w:t>1. Evaluation des chutes</w:t>
        <w:br/>
        <w:t>« L’ endomagement d’un lien sacré qui est motivé, fait en conscience, qui est bien établi et qui l’interromp,</w:t>
      </w:r>
    </w:p>
    <w:p>
      <w:pPr>
        <w:pStyle w:val="Com.paragraphtrans"/>
      </w:pPr>
      <w:r>
        <w:rPr>
          <w:rStyle w:val="Communicative"/>
        </w:rPr>
        <w:t>Qui est accompli l’esprit non perturbé, sans regret et dont le délai de confession est dépassé est une défaite.</w:t>
      </w:r>
    </w:p>
    <w:p>
      <w:pPr>
        <w:pStyle w:val="Com.paragraphtrans"/>
      </w:pPr>
      <w:r>
        <w:rPr>
          <w:rStyle w:val="Communicative"/>
        </w:rPr>
        <w:t>Si toutes ces branches ne sont pas réunies on mesure l’endomagement comme étant un faute grave, une faute mineur etc. »</w:t>
      </w:r>
    </w:p>
    <w:p>
      <w:pPr>
        <w:pStyle w:val="Com.paragraphtrans"/>
      </w:pPr>
      <w:r>
        <w:rPr>
          <w:rStyle w:val="Communicative"/>
        </w:rPr>
        <w:t>Les chutes racines sont qualifié de défaite totale quand sept facteurs sont réunis:</w:t>
        <w:br/>
        <w:t xml:space="preserve">1. une intention motivée par les émotions perturbatrices; </w:t>
        <w:br/>
        <w:br/>
        <w:t xml:space="preserve">2. être conscient que l’objet de la chute est un objet amenant une chute racine; </w:t>
        <w:br/>
        <w:br/>
        <w:t xml:space="preserve">3. que l’acte soit établi, c’est à dire que l’on ai accompli l’acte négatif physiquement ou verbalement ; </w:t>
        <w:br/>
        <w:br/>
        <w:t xml:space="preserve">4. “qui l’interrmomp’’ signifie que la faute est accomplie complêtement ; </w:t>
        <w:br/>
        <w:br/>
        <w:t xml:space="preserve">5. ne pas regrêter et en être satisfait; </w:t>
        <w:br/>
        <w:br/>
        <w:t xml:space="preserve">6. ne pas être mentalement perturbé ; </w:t>
        <w:br/>
        <w:br/>
        <w:t>7. si le Lama est toujours présent et que l’on ne s’est pas conféssé dans l’année ou dans les trois ans, le délai de</w:t>
      </w:r>
    </w:p>
    <w:p>
      <w:pPr>
        <w:pStyle w:val="Com.paragraphtrans"/>
      </w:pPr>
      <w:r>
        <w:rPr>
          <w:rStyle w:val="Communicative"/>
        </w:rPr>
        <w:br/>
        <w:t>confession est dépassé. Quand ces sept points sont tous présents on a une défaite. Si les six premiéres branches sont présentent mais que le délai de confession n’est pas encore dépassé, on parle de « chute ». Ceci correspond aux « chutes avec résidu » que l’on trouve dans les voeux de libération personelles.</w:t>
        <w:br/>
        <w:t xml:space="preserve">Si une autre branche est manquante mais que l’on accompli l’acte en lui même, on a une « faute grave ». </w:t>
        <w:br/>
        <w:br/>
        <w:t xml:space="preserve">Si plus de branches manquent, on a un “provocateur de chute”. </w:t>
        <w:br/>
        <w:br/>
        <w:t xml:space="preserve">Si on l’accompli juste physiquement ou verbalement sans que les autres branches soient présentes on a l’équivalent d’une « faute mineure » (selon le code du vinaya). On aura aussi une faute mineure si on accompli l’acte lui-même mais que notre état de conscience est altéré (on est malade etc. ) (246) </w:t>
        <w:br/>
        <w:br/>
        <w:t>Pour les huit chutes secondaires, la faute sera aussi propotionnelle au nombre de facteurs qui la consitue et on aura des fautes graves, des provocateur de chutes ou des fautes mineures. Le Tantra l’Ornement du Coeur Adamantin (247)explique que les transgressions accomplies dans un but noble comme en ayant conscience que cela sera bénéfique à quelqu’un, que l’application du lien sacré crée un obstacle a notre pratique, qu’on a recu la permission de transgresser l’engagement, que l’on est malade ou dans l’incapacité de tenir ses liens sacrés etc, sont des faux-semblants (litt. reflets) de fautes mais ne représentent aucun méfait.  Une autre présentation qui à le même sens que la présentation qui vient d’être faite donne cinq facteurs ou branche pour qu’une chute soit totale :</w:t>
        <w:br/>
        <w:t>1. la branche du support (l’individu) : la pratiquant qui a recu les liens sacrés et ne les a pas (encore) endomagés;</w:t>
      </w:r>
    </w:p>
    <w:p>
      <w:pPr>
        <w:pStyle w:val="Com.paragraphtrans"/>
      </w:pPr>
      <w:r>
        <w:rPr>
          <w:rStyle w:val="Communicative"/>
        </w:rPr>
        <w:t>2. la branche de l’objet: l’objet de l’offense doit être, par exemple, le Lama et savoir que ce dernier comme est un Lama;</w:t>
      </w:r>
    </w:p>
    <w:p>
      <w:pPr>
        <w:pStyle w:val="Com.paragraphtrans"/>
      </w:pPr>
      <w:r>
        <w:rPr>
          <w:rStyle w:val="Communicative"/>
        </w:rPr>
        <w:t>3. la branche de l’intention: ne pas ressentir de honte par rapport à ce que l’on a fait, ne pas avoir pu appliquer l’antidote avant l’accomplissement complet de l’action, et une fois l’action accomplie, ne pas avoir de regret et s’en réjouir ;</w:t>
      </w:r>
    </w:p>
    <w:p>
      <w:pPr>
        <w:pStyle w:val="Com.paragraphtrans"/>
      </w:pPr>
      <w:r>
        <w:rPr>
          <w:rStyle w:val="Communicative"/>
        </w:rPr>
        <w:t>4. la branche de l’action: accomplir concrêtement la transgression ;</w:t>
      </w:r>
    </w:p>
    <w:p>
      <w:pPr>
        <w:pStyle w:val="Com.paragraphtrans"/>
      </w:pPr>
      <w:r>
        <w:rPr>
          <w:rStyle w:val="Communicative"/>
        </w:rPr>
        <w:t>5. la branche de la complétude: l’acte est complètement accompli.</w:t>
      </w:r>
    </w:p>
    <w:p>
      <w:pPr>
        <w:pStyle w:val="Com.paragraphtrans"/>
      </w:pPr>
      <w:r>
        <w:rPr>
          <w:rStyle w:val="Communicative"/>
        </w:rPr>
        <w:t xml:space="preserve"> Les causes qui les font advenir ces transgressions sont selon le Dakinisamvara Tantra (248):</w:t>
        <w:br/>
        <w:t>« L’ignorance et l’innatention,</w:t>
      </w:r>
    </w:p>
    <w:p>
      <w:pPr>
        <w:pStyle w:val="Com.paragraphtrans"/>
      </w:pPr>
      <w:r>
        <w:rPr>
          <w:rStyle w:val="Communicative"/>
        </w:rPr>
        <w:t>Trop d’émotions et le manque de respect,</w:t>
      </w:r>
    </w:p>
    <w:p>
      <w:pPr>
        <w:pStyle w:val="Com.paragraphtrans"/>
      </w:pPr>
      <w:r>
        <w:rPr>
          <w:rStyle w:val="Communicative"/>
        </w:rPr>
        <w:t>L’oubli et la confusion mentale,</w:t>
      </w:r>
    </w:p>
    <w:p>
      <w:pPr>
        <w:pStyle w:val="Com.paragraphtrans"/>
      </w:pPr>
      <w:r>
        <w:rPr>
          <w:rStyle w:val="Communicative"/>
        </w:rPr>
        <w:t>Ces six sont les cause de détérioration des liens sacrés. »</w:t>
        <w:br/>
        <w:t>A l’instar de ce qui est dit, si on s’applique à rejeter les causes, leur resultat sera naturellement évité.</w:t>
      </w:r>
    </w:p>
    <w:p>
      <w:pPr>
        <w:pStyle w:val="Com.paragraphtrans"/>
      </w:pPr>
      <w:r>
        <w:rPr>
          <w:rStyle w:val="Communicative"/>
        </w:rPr>
        <w:t>D’une manière générale les liens sacrés du Mantra Secret sont très puissants, ils procurent beaucoup de bienfaits mais sont aussi très risqués.</w:t>
      </w:r>
    </w:p>
    <w:p>
      <w:pPr>
        <w:pStyle w:val="Com.paragraphtrans"/>
      </w:pPr>
      <w:r>
        <w:rPr>
          <w:rStyle w:val="Communicative"/>
        </w:rP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