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Présentation détaillée</w:t>
      </w:r>
    </w:p>
    <w:p>
      <w:pPr>
        <w:pStyle w:val="Com.paragraphtrans"/>
      </w:pPr>
      <w:r>
        <w:rPr>
          <w:rStyle w:val="Communicative"/>
        </w:rPr>
        <w:t>« Les liens sacrés communs délimitent ce qu’il faut observer en lien avec les vœux de libération personnelle, de Bodhisattva et des trois classes de Tantra.</w:t>
        <w:br/>
        <w:t>Ceux racines sont relatifs au corps, à la parole, à l’esprit éveillé ainsi qu’à l’esprit d’éveil.</w:t>
      </w:r>
    </w:p>
    <w:p>
      <w:pPr>
        <w:pStyle w:val="Com.paragraphtrans"/>
      </w:pPr>
      <w:r>
        <w:rPr>
          <w:rStyle w:val="Communicative"/>
        </w:rPr>
        <w:t>Les spécifiques sont les secondaire sont les cinq groupes de cinq -à accomplir, à ne pas abandonner, à adopter, à réaliser et à connaitre,</w:t>
      </w:r>
    </w:p>
    <w:p>
      <w:pPr>
        <w:pStyle w:val="Com.paragraphtrans"/>
      </w:pPr>
      <w:r>
        <w:rPr>
          <w:rStyle w:val="Communicative"/>
        </w:rPr>
        <w:t>Et sont a observer dans leur sens provisoire comme définitif.</w:t>
      </w:r>
    </w:p>
    <w:p>
      <w:pPr>
        <w:pStyle w:val="Com.paragraphtrans"/>
      </w:pPr>
      <w:r>
        <w:rPr>
          <w:rStyle w:val="Communicative"/>
        </w:rPr>
        <w:t>Ceux supplémentaire sont les vingt liens sacrés de la pratique. »</w:t>
      </w:r>
    </w:p>
    <w:p>
      <w:pPr>
        <w:pStyle w:val="Com.paragraphtrans"/>
      </w:pPr>
      <w:r>
        <w:rPr>
          <w:rStyle w:val="Communicative"/>
        </w:rPr>
        <w:t>Les liens sacrés généraux communs sont les délimitations de ce qu’il faut observer pour les voeux de libération personelle, ceux de Bodhisattva et ceux des trois classes de tantras extérieurs. Les liens sacrés racine sont ceux relatifs au corps, à la parole, à l’esprit éveillé ainsi qu’à l’esprit d’éveil; les secondaires (branches) sont les cinq liens sacrés concernant ce qu’il faut pratiquer, les cinq liens sacrés auxquels ne pas renoncer, les cinq liens sacrés à accepter, les cinq liens sacrés à réaliser les cinq liens sacrés à reconnaitre. Ces cinq groupes de cinq sont les liens sacrés spécifiques. Les vingt liens sacrés qu’il faut en plus observer lors que l’on accomplit la phase d’approche et d’accomplissement de la pratique (d’une divinité) sont ce qu’on appel les liens sacrés supplémentaires.</w:t>
      </w:r>
    </w:p>
    <w:p>
      <w:pPr>
        <w:pStyle w:val="Com.paragraphtrans"/>
      </w:pPr>
      <w:r>
        <w:rPr>
          <w:rStyle w:val="Communicative"/>
        </w:rPr>
        <w:t>(259) Parmi ces liens sacrés, le lien racine concernant le corps éveillé consiste à préserver les liens que l’on a avec les maîtres et les frères et soeurs spirituels.</w:t>
      </w:r>
    </w:p>
    <w:p>
      <w:pPr>
        <w:pStyle w:val="Com.paragraphtrans"/>
      </w:pPr>
      <w:r>
        <w:rPr>
          <w:rStyle w:val="Communicative"/>
        </w:rPr>
        <w:t>Dans Le Scintillement des Liens Sacrés, Lilavajra dit à leur sujet: (260)</w:t>
        <w:br/>
        <w:t>« Les maîtres communs à tous, ceux qui guides, ceux qui confèrent les liens sacrés et initient,</w:t>
      </w:r>
    </w:p>
    <w:p>
      <w:pPr>
        <w:pStyle w:val="Com.paragraphtrans"/>
      </w:pPr>
      <w:r>
        <w:rPr>
          <w:rStyle w:val="Communicative"/>
        </w:rPr>
        <w:t>Ceux pour restaurer les manquements, ceux qui libèrent notre esprit,</w:t>
      </w:r>
    </w:p>
    <w:p>
      <w:pPr>
        <w:pStyle w:val="Com.paragraphtrans"/>
      </w:pPr>
      <w:r>
        <w:rPr>
          <w:rStyle w:val="Communicative"/>
        </w:rPr>
        <w:t>Et ceux qui confèrent les instructions directes et par la lecture, sont les différents maîtres. »</w:t>
      </w:r>
    </w:p>
    <w:p>
      <w:pPr>
        <w:pStyle w:val="Com.paragraphtrans"/>
      </w:pPr>
      <w:r>
        <w:rPr>
          <w:rStyle w:val="Communicative"/>
        </w:rPr>
        <w:t>(261) La manière d’honnorer ces six types de maîtres est expliqué a l’aide d’exemples dans se même texte : (262)</w:t>
        <w:br/>
        <w:t>« Regardez les comme plus importants que le roi de votre pays,</w:t>
      </w:r>
    </w:p>
    <w:p>
      <w:pPr>
        <w:pStyle w:val="Com.paragraphtrans"/>
      </w:pPr>
      <w:r>
        <w:rPr>
          <w:rStyle w:val="Communicative"/>
        </w:rPr>
        <w:t>Que votre oncle, votre père, votre mère, vos yeux et votre coeur. »</w:t>
      </w:r>
    </w:p>
    <w:p>
      <w:pPr>
        <w:pStyle w:val="Com.paragraphtrans"/>
      </w:pPr>
      <w:r>
        <w:rPr>
          <w:rStyle w:val="Communicative"/>
        </w:rPr>
        <w:br/>
        <w:t>Plus spécifiquement, comme il est dit dans le Tantra Paisible : Considerez ces trois maîtres -celui qui confére les intiations, celui qui explique les tantras et celui qui transmet les instructions directes- soit comme supérieure au Bouddha, soit comme son égal, soit comme le quatrième joyau, et, physiquement, verbalement comme mentalement honnorez les sans la moindre hyprocisie en accomplissant tous ce qui les réjouis et tous ce qu’il vous commandent. Quant à la fratrie spirituelle est est de quatre types : (263) la fratrie générale, distante, proche et intime ; et la relation que l’on a avec eux est de plus en plus forte selon cet ordre : elle est plus forte avec les trois derniers qui sont sur la voie parfaite qu’avec la fratrie générale et la relation avec les frères et sœurs intimes est plus forte qu’avec les trois autres.</w:t>
        <w:br/>
        <w:t>Comprenant cela, on doit ne pas s’en séparer et les honnerer avec amour.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