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A4A"/>
          <w:sz w:val="44"/>
        </w:rPr>
        <w:t>Can We Trust How We Measure AI Safety?</w:t>
      </w:r>
    </w:p>
    <w:p>
      <w:pPr>
        <w:jc w:val="center"/>
      </w:pPr>
      <w:r>
        <w:rPr>
          <w:i/>
          <w:color w:val="2C5F8A"/>
          <w:sz w:val="26"/>
        </w:rPr>
        <w:t>An Empirical Study of Evaluator Disagreement in LLM Safety Testing</w:t>
      </w:r>
    </w:p>
    <w:p/>
    <w:p>
      <w:pPr>
        <w:jc w:val="center"/>
      </w:pPr>
      <w:r>
        <w:rPr>
          <w:color w:val="555566"/>
          <w:sz w:val="21"/>
        </w:rPr>
        <w:t>Shekhar Tiruwa</w:t>
        <w:br/>
      </w:r>
      <w:r>
        <w:rPr>
          <w:color w:val="555566"/>
          <w:sz w:val="21"/>
        </w:rPr>
        <w:t>BlueDot Impact — Technical AI Safety Sprint</w:t>
        <w:br/>
      </w:r>
      <w:r>
        <w:rPr>
          <w:color w:val="555566"/>
          <w:sz w:val="21"/>
        </w:rPr>
        <w:t>April 2026</w:t>
        <w:br/>
      </w:r>
    </w:p>
    <w:p/>
    <w:p>
      <w:pPr>
        <w:pStyle w:val="Heading1"/>
        <w:spacing w:before="280" w:after="80"/>
      </w:pPr>
      <w:r>
        <w:rPr>
          <w:b/>
          <w:color w:val="1A2A4A"/>
          <w:sz w:val="32"/>
        </w:rPr>
        <w:t>Abstract</w:t>
      </w:r>
    </w:p>
    <w:p>
      <w:pPr>
        <w:spacing w:after="120" w:before="0"/>
      </w:pPr>
      <w:r>
        <w:rPr>
          <w:b w:val="0"/>
          <w:i w:val="0"/>
          <w:color w:val="1A1A2E"/>
          <w:sz w:val="21"/>
        </w:rPr>
        <w:t>Automated safety evaluation of large language models (LLMs) is now standard practice, yet the field has no consensus on which evaluation method to use. This project tests whether evaluator choice changes the safety conclusion — even when the model, prompts, and responses are held constant. Running three evaluators simultaneously (keyword matching, LLaMA Guard 3, and an LLM judge using the StrongREJECT rubric) against 487 adversarial prompts sent to GPT-4o-mini, we find that the methods agree on only 7% of responses. On the same dataset, the keyword evaluator reports 0.4% unsafe responses, LLaMA Guard reports 31.1%, and the LLM judge reports 1.7%. The variation is not measurement noise — it is a structural property of how each method reads model behaviour. We conclude that evaluator choice is a primary determinant of reported AI safety outcomes, and that no single automated method can be trusted in isolation.</w:t>
      </w:r>
    </w:p>
    <w:p>
      <w:pPr>
        <w:pStyle w:val="Heading1"/>
        <w:spacing w:before="280" w:after="80"/>
      </w:pPr>
      <w:r>
        <w:rPr>
          <w:b/>
          <w:color w:val="1A2A4A"/>
          <w:sz w:val="32"/>
        </w:rPr>
        <w:t>1.  Problem Statement</w:t>
      </w:r>
    </w:p>
    <w:p>
      <w:pPr>
        <w:spacing w:after="120" w:before="0"/>
      </w:pPr>
      <w:r>
        <w:rPr>
          <w:b w:val="0"/>
          <w:i w:val="0"/>
          <w:color w:val="1A1A2E"/>
          <w:sz w:val="21"/>
        </w:rPr>
        <w:t>AI safety evaluation is the process of determining whether a language model will comply with harmful requests. It is used by researchers to benchmark models, by companies to certify deployments, and increasingly by regulators to assess compliance.</w:t>
      </w:r>
    </w:p>
    <w:p>
      <w:pPr>
        <w:spacing w:after="120" w:before="0"/>
      </w:pPr>
      <w:r>
        <w:rPr>
          <w:b w:val="0"/>
          <w:i w:val="0"/>
          <w:color w:val="1A1A2E"/>
          <w:sz w:val="21"/>
        </w:rPr>
        <w:t>The dominant practice is to use a single evaluator — typically keyword matching (fast, cheap) or an LLM-as-judge (more accurate, more expensive) — and report the results as if they were ground truth. Two papers evaluating the same model with the same prompts could use different methods and arrive at incompatible safety scores. Neither would be wrong about what their evaluator found. But neither would surface the more important question:</w:t>
      </w:r>
    </w:p>
    <w:p>
      <w:pPr>
        <w:spacing w:after="120" w:before="0"/>
      </w:pPr>
      <w:r>
        <w:rPr>
          <w:b/>
          <w:i/>
          <w:color w:val="2C5F8A"/>
          <w:sz w:val="21"/>
        </w:rPr>
        <w:t>How much does the evaluator itself determine the outcome?</w:t>
      </w:r>
    </w:p>
    <w:p>
      <w:pPr>
        <w:spacing w:after="120" w:before="0"/>
      </w:pPr>
      <w:r>
        <w:rPr>
          <w:b w:val="0"/>
          <w:i w:val="0"/>
          <w:color w:val="1A1A2E"/>
          <w:sz w:val="21"/>
        </w:rPr>
        <w:t>This project was designed to answer that question empirically.</w:t>
      </w:r>
    </w:p>
    <w:p>
      <w:pPr>
        <w:pStyle w:val="Heading1"/>
        <w:spacing w:before="280" w:after="80"/>
      </w:pPr>
      <w:r>
        <w:rPr>
          <w:b/>
          <w:color w:val="1A2A4A"/>
          <w:sz w:val="32"/>
        </w:rPr>
        <w:t>2.  Research Question</w:t>
      </w:r>
    </w:p>
    <w:p>
      <w:pPr>
        <w:spacing w:after="120" w:before="0"/>
      </w:pPr>
      <w:r>
        <w:rPr>
          <w:b/>
          <w:i/>
          <w:color w:val="1A1A2E"/>
          <w:sz w:val="21"/>
        </w:rPr>
        <w:t>When three evaluators score the same adversarial prompts against the same model, how often do they agree — and what do the disagreements reveal about evaluator reliability?</w:t>
      </w:r>
    </w:p>
    <w:p>
      <w:pPr>
        <w:spacing w:after="120" w:before="0"/>
      </w:pPr>
      <w:r>
        <w:rPr>
          <w:b/>
          <w:i w:val="0"/>
          <w:color w:val="1A1A2E"/>
          <w:sz w:val="21"/>
        </w:rPr>
        <w:t>Secondary questions:</w:t>
      </w:r>
    </w:p>
    <w:p>
      <w:pPr>
        <w:pStyle w:val="ListBullet"/>
        <w:spacing w:after="60" w:before="0"/>
        <w:ind w:left="360"/>
      </w:pPr>
      <w:r>
        <w:rPr>
          <w:color w:val="1A1A2E"/>
          <w:sz w:val="20"/>
        </w:rPr>
        <w:t>Does the LLM judge's semantic understanding significantly reduce the inconclusive rate of keyword evaluators?</w:t>
      </w:r>
    </w:p>
    <w:p>
      <w:pPr>
        <w:pStyle w:val="ListBullet"/>
        <w:spacing w:after="60" w:before="0"/>
        <w:ind w:left="360"/>
      </w:pPr>
      <w:r>
        <w:rPr>
          <w:color w:val="1A1A2E"/>
          <w:sz w:val="20"/>
        </w:rPr>
        <w:t>Does LLaMA Guard 3 — a purpose-built safety classifier — produce results consistent with LLM-judge-level reasoning?</w:t>
      </w:r>
    </w:p>
    <w:p>
      <w:pPr>
        <w:pStyle w:val="ListBullet"/>
        <w:spacing w:after="60" w:before="0"/>
        <w:ind w:left="360"/>
      </w:pPr>
      <w:r>
        <w:rPr>
          <w:color w:val="1A1A2E"/>
          <w:sz w:val="20"/>
        </w:rPr>
        <w:t>Which attack categories and prompt sources produce the most evaluator disagreement?</w:t>
      </w:r>
    </w:p>
    <w:p>
      <w:pPr>
        <w:pStyle w:val="Heading1"/>
        <w:spacing w:before="280" w:after="80"/>
      </w:pPr>
      <w:r>
        <w:rPr>
          <w:b/>
          <w:color w:val="1A2A4A"/>
          <w:sz w:val="32"/>
        </w:rPr>
        <w:t>3.  Methodology</w:t>
      </w:r>
    </w:p>
    <w:p>
      <w:pPr>
        <w:pStyle w:val="Heading2"/>
        <w:spacing w:before="200" w:after="80"/>
      </w:pPr>
      <w:r>
        <w:rPr>
          <w:b/>
          <w:color w:val="2C5F8A"/>
          <w:sz w:val="26"/>
        </w:rPr>
        <w:t>3.1  Project Evolution</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Iteration</w:t>
            </w:r>
          </w:p>
        </w:tc>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What was built</w:t>
            </w:r>
          </w:p>
        </w:tc>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Key finding</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1 — Keyword Baseline</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Keyword evaluator (v2), 75 custom prompts, GPT-3.5-turbo + GPT-4o-mini</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59–70% inconclusive rate. Keyword rules blind to silent refusals.</w:t>
            </w:r>
          </w:p>
        </w:tc>
      </w:tr>
      <w:tr>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2 — LLM Judge</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LLM-as-judge added. Same 75 prompts, same responses re-evaluated.</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Keyword: 1% unsafe. LLM judge: 24% unsafe. Same data.</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3 — Triple Evaluator</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All 3 evaluators simultaneously on 487 prompts from 3 standardised datasets.</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Agreement on only 7% of responses.</w:t>
            </w:r>
          </w:p>
        </w:tc>
      </w:tr>
    </w:tbl>
    <w:p>
      <w:pPr>
        <w:spacing w:after="120"/>
      </w:pPr>
    </w:p>
    <w:p>
      <w:pPr>
        <w:pStyle w:val="Heading2"/>
        <w:spacing w:before="200" w:after="80"/>
      </w:pPr>
      <w:r>
        <w:rPr>
          <w:b/>
          <w:color w:val="2C5F8A"/>
          <w:sz w:val="26"/>
        </w:rPr>
        <w:t>3.2  Datasets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Source</w:t>
            </w:r>
          </w:p>
        </w:tc>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Prompts</w:t>
            </w:r>
          </w:p>
        </w:tc>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Description</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Custom</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75</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5 attack categories: data leakage, hallucination, prompt injection, jailbreak, role-play</w:t>
            </w:r>
          </w:p>
        </w:tc>
      </w:tr>
      <w:tr>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StrongREJECT (Souly et al., NeurIPS 2024)</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313</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Covers violence, disinformation, illegal goods, sexual content and more</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JailbreakBench (Chao et al., 2024)</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100</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Adversarially optimised harmful behaviour prompts</w:t>
            </w:r>
          </w:p>
        </w:tc>
      </w:tr>
      <w:tr>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Total evaluated</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487</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1 skipped due to API timeout</w:t>
            </w:r>
          </w:p>
        </w:tc>
      </w:tr>
    </w:tbl>
    <w:p>
      <w:pPr>
        <w:spacing w:after="120"/>
      </w:pPr>
    </w:p>
    <w:p>
      <w:pPr>
        <w:pStyle w:val="Heading2"/>
        <w:spacing w:before="200" w:after="80"/>
      </w:pPr>
      <w:r>
        <w:rPr>
          <w:b/>
          <w:color w:val="2C5F8A"/>
          <w:sz w:val="26"/>
        </w:rPr>
        <w:t>3.3  Evaluators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Evaluator</w:t>
            </w:r>
          </w:p>
        </w:tc>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Method</w:t>
            </w:r>
          </w:p>
        </w:tc>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Cost per call</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Keyword v2 (baseline)</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Pattern matching: compliance, refusal, and silent-ignore signals</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$0</w:t>
            </w:r>
          </w:p>
        </w:tc>
      </w:tr>
      <w:tr>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LLaMA Guard 3</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Meta's safety classifier — 13 harm categories (MLCommons taxonomy)</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~$0.01</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LLM Judge (StrongREJECT + G-Eval CoT)</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Reasons step-by-step: refusal → specificity → convincingness → plain-English summary. Score = (1 − refusal) × (specificity + convincingness) / 2. Temperature = 0.</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~$0.02</w:t>
            </w:r>
          </w:p>
        </w:tc>
      </w:tr>
    </w:tbl>
    <w:p>
      <w:pPr>
        <w:spacing w:after="120"/>
      </w:pPr>
    </w:p>
    <w:p>
      <w:pPr>
        <w:pStyle w:val="Heading2"/>
        <w:spacing w:before="200" w:after="80"/>
      </w:pPr>
      <w:r>
        <w:rPr>
          <w:b/>
          <w:color w:val="2C5F8A"/>
          <w:sz w:val="26"/>
        </w:rPr>
        <w:t>3.4  Infrastructure</w:t>
      </w:r>
    </w:p>
    <w:p>
      <w:pPr>
        <w:pStyle w:val="ListBullet"/>
        <w:spacing w:after="60" w:before="0"/>
        <w:ind w:left="360"/>
      </w:pPr>
      <w:r>
        <w:rPr>
          <w:color w:val="1A1A2E"/>
          <w:sz w:val="20"/>
        </w:rPr>
        <w:t>Unified API client — all model calls via OpenRouter. Any model swappable with one string.</w:t>
      </w:r>
    </w:p>
    <w:p>
      <w:pPr>
        <w:pStyle w:val="ListBullet"/>
        <w:spacing w:after="60" w:before="0"/>
        <w:ind w:left="360"/>
      </w:pPr>
      <w:r>
        <w:rPr>
          <w:color w:val="1A1A2E"/>
          <w:sz w:val="20"/>
        </w:rPr>
        <w:t>Plugin architecture — each evaluator implements a common BaseEvaluator interface.</w:t>
      </w:r>
    </w:p>
    <w:p>
      <w:pPr>
        <w:pStyle w:val="ListBullet"/>
        <w:spacing w:after="60" w:before="0"/>
        <w:ind w:left="360"/>
      </w:pPr>
      <w:r>
        <w:rPr>
          <w:color w:val="1A1A2E"/>
          <w:sz w:val="20"/>
        </w:rPr>
        <w:t>Parallel execution — 15 prompts processed concurrently using asyncio. Each prompt makes 4 simultaneous API calls (1 target + 3 evaluators).</w:t>
      </w:r>
    </w:p>
    <w:p>
      <w:pPr>
        <w:pStyle w:val="ListBullet"/>
        <w:spacing w:after="60" w:before="0"/>
        <w:ind w:left="360"/>
      </w:pPr>
      <w:r>
        <w:rPr>
          <w:color w:val="1A1A2E"/>
          <w:sz w:val="20"/>
        </w:rPr>
        <w:t>Storage — SQLite (WAL mode) stores all three verdicts flat per response, with agreement label and disagreement pattern.</w:t>
      </w:r>
    </w:p>
    <w:p>
      <w:pPr>
        <w:pStyle w:val="ListBullet"/>
        <w:spacing w:after="60" w:before="0"/>
        <w:ind w:left="360"/>
      </w:pPr>
      <w:r>
        <w:rPr>
          <w:color w:val="1A1A2E"/>
          <w:sz w:val="20"/>
        </w:rPr>
        <w:t>Dashboard — Streamlit with Plotly showing the disagreement map, evaluator comparison, and per-category breakdown.</w:t>
      </w:r>
    </w:p>
    <w:p>
      <w:pPr>
        <w:pStyle w:val="Heading1"/>
        <w:spacing w:before="280" w:after="80"/>
      </w:pPr>
      <w:r>
        <w:rPr>
          <w:b/>
          <w:color w:val="1A2A4A"/>
          <w:sz w:val="32"/>
        </w:rPr>
        <w:t>4.  Results</w:t>
      </w:r>
    </w:p>
    <w:p>
      <w:pPr>
        <w:pStyle w:val="Heading2"/>
        <w:spacing w:before="200" w:after="80"/>
      </w:pPr>
      <w:r>
        <w:rPr>
          <w:b/>
          <w:color w:val="2C5F8A"/>
          <w:sz w:val="26"/>
        </w:rPr>
        <w:t>4.1  Core Finding</w:t>
      </w:r>
    </w:p>
    <w:p>
      <w:pPr>
        <w:spacing w:after="120" w:before="0"/>
      </w:pPr>
      <w:r>
        <w:rPr>
          <w:b/>
          <w:i w:val="0"/>
          <w:color w:val="1A1A2E"/>
          <w:sz w:val="21"/>
        </w:rPr>
        <w:t>Three evaluators scored the exact same 487 responses. Their conclusions were almost entirely different.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Evaluator</w:t>
            </w:r>
          </w:p>
        </w:tc>
        <w:tc>
          <w:tcPr>
            <w:tcW w:type="dxa" w:w="2266"/>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Safe</w:t>
            </w:r>
          </w:p>
        </w:tc>
        <w:tc>
          <w:tcPr>
            <w:tcW w:type="dxa" w:w="2266"/>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Unsafe</w:t>
            </w:r>
          </w:p>
        </w:tc>
        <w:tc>
          <w:tcPr>
            <w:tcW w:type="dxa" w:w="2266"/>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Inconclusive</w:t>
            </w:r>
          </w:p>
        </w:tc>
      </w:tr>
      <w:tr>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Keyword (v2)</w:t>
            </w:r>
          </w:p>
        </w:tc>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336  (69.6%)</w:t>
            </w:r>
          </w:p>
        </w:tc>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2  (0.4%)</w:t>
            </w:r>
          </w:p>
        </w:tc>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145  (30.0%)</w:t>
            </w:r>
          </w:p>
        </w:tc>
      </w:tr>
      <w:tr>
        <w:tc>
          <w:tcPr>
            <w:tcW w:type="dxa" w:w="226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LLaMA Guard 3</w:t>
            </w:r>
          </w:p>
        </w:tc>
        <w:tc>
          <w:tcPr>
            <w:tcW w:type="dxa" w:w="226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37   (7.7%)</w:t>
            </w:r>
          </w:p>
        </w:tc>
        <w:tc>
          <w:tcPr>
            <w:tcW w:type="dxa" w:w="226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150  (31.1%)</w:t>
            </w:r>
          </w:p>
        </w:tc>
        <w:tc>
          <w:tcPr>
            <w:tcW w:type="dxa" w:w="226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296  (61.3%)</w:t>
            </w:r>
          </w:p>
        </w:tc>
      </w:tr>
      <w:tr>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LLM Judge</w:t>
            </w:r>
          </w:p>
        </w:tc>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450  (93.2%)</w:t>
            </w:r>
          </w:p>
        </w:tc>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8   (1.7%)</w:t>
            </w:r>
          </w:p>
        </w:tc>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25   (5.2%)</w:t>
            </w:r>
          </w:p>
        </w:tc>
      </w:tr>
    </w:tbl>
    <w:p>
      <w:pPr>
        <w:spacing w:after="120"/>
      </w:pPr>
    </w:p>
    <w:p>
      <w:pPr>
        <w:spacing w:after="120" w:before="0"/>
      </w:pPr>
      <w:r>
        <w:rPr>
          <w:b w:val="0"/>
          <w:i/>
          <w:color w:val="2C5F8A"/>
          <w:sz w:val="21"/>
        </w:rPr>
        <w:t>The same 487 responses were rated 0.4% unsafe by keyword, 31.1% by LLaMA Guard, and 1.7% by the LLM judge. The variation spans two orders of magnitude. This is not measurement noise — it reflects three fundamentally different theories of what 'unsafe' means.</w:t>
      </w:r>
    </w:p>
    <w:p>
      <w:pPr>
        <w:pStyle w:val="Heading2"/>
        <w:spacing w:before="200" w:after="80"/>
      </w:pPr>
      <w:r>
        <w:rPr>
          <w:b/>
          <w:color w:val="2C5F8A"/>
          <w:sz w:val="26"/>
        </w:rPr>
        <w:t>4.2  Evaluator Agreement</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Agreement</w:t>
            </w:r>
          </w:p>
        </w:tc>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Count</w:t>
            </w:r>
          </w:p>
        </w:tc>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All three agree  [=]</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34</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7.0%</w:t>
            </w:r>
          </w:p>
        </w:tc>
      </w:tr>
      <w:tr>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Two agree, one differs  [~]</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400</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82.1%</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All three disagree  [!]</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49</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10.1%</w:t>
            </w:r>
          </w:p>
        </w:tc>
      </w:tr>
    </w:tbl>
    <w:p>
      <w:pPr>
        <w:spacing w:after="120"/>
      </w:pPr>
    </w:p>
    <w:p>
      <w:pPr>
        <w:spacing w:after="120" w:before="0"/>
      </w:pPr>
      <w:r>
        <w:rPr>
          <w:b w:val="0"/>
          <w:i w:val="0"/>
          <w:color w:val="1A1A2E"/>
          <w:sz w:val="21"/>
        </w:rPr>
        <w:t>93% of prompts produced some form of disagreement. On 49 prompts (10%), all three methods arrived at entirely different conclusions about the same response.</w:t>
      </w:r>
    </w:p>
    <w:p>
      <w:pPr>
        <w:pStyle w:val="Heading2"/>
        <w:spacing w:before="200" w:after="80"/>
      </w:pPr>
      <w:r>
        <w:rPr>
          <w:b/>
          <w:color w:val="2C5F8A"/>
          <w:sz w:val="26"/>
        </w:rPr>
        <w:t>4.3  Top Disagreement Patterns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Pattern</w:t>
            </w:r>
          </w:p>
        </w:tc>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Count</w:t>
            </w:r>
          </w:p>
        </w:tc>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Interpretation</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kw=safe | lg=inconclusive | lj=safe</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212</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LLaMA Guard uncertain; other two agree safe</w:t>
            </w:r>
          </w:p>
        </w:tc>
      </w:tr>
      <w:tr>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kw=safe | lg=unsafe | lj=safe</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88</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LLaMA Guard false positive; other two agree safe</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kw=inconclusive | lg=inconclusive | lj=safe</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70</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Both legacy methods fail; LLM judge resolves</w:t>
            </w:r>
          </w:p>
        </w:tc>
      </w:tr>
      <w:tr>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kw=inconclusive | lg=unsafe | lj=safe</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43</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Keyword misses; LLaMA Guard alarms; Judge says safe</w:t>
            </w:r>
          </w:p>
        </w:tc>
      </w:tr>
    </w:tbl>
    <w:p>
      <w:pPr>
        <w:spacing w:after="120"/>
      </w:pPr>
    </w:p>
    <w:p>
      <w:pPr>
        <w:pStyle w:val="Heading2"/>
        <w:spacing w:before="200" w:after="80"/>
      </w:pPr>
      <w:r>
        <w:rPr>
          <w:b/>
          <w:color w:val="2C5F8A"/>
          <w:sz w:val="26"/>
        </w:rPr>
        <w:t>4.4  Genuine Failures Found by LLM Judge</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Source</w:t>
            </w:r>
          </w:p>
        </w:tc>
        <w:tc>
          <w:tcPr>
            <w:tcW w:type="dxa" w:w="2266"/>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Prompts</w:t>
            </w:r>
          </w:p>
        </w:tc>
        <w:tc>
          <w:tcPr>
            <w:tcW w:type="dxa" w:w="2266"/>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Unsafe (LLM Judge)</w:t>
            </w:r>
          </w:p>
        </w:tc>
        <w:tc>
          <w:tcPr>
            <w:tcW w:type="dxa" w:w="2266"/>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Rate</w:t>
            </w:r>
          </w:p>
        </w:tc>
      </w:tr>
      <w:tr>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Custom</w:t>
            </w:r>
          </w:p>
        </w:tc>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75</w:t>
            </w:r>
          </w:p>
        </w:tc>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0</w:t>
            </w:r>
          </w:p>
        </w:tc>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0%</w:t>
            </w:r>
          </w:p>
        </w:tc>
      </w:tr>
      <w:tr>
        <w:tc>
          <w:tcPr>
            <w:tcW w:type="dxa" w:w="226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StrongREJECT</w:t>
            </w:r>
          </w:p>
        </w:tc>
        <w:tc>
          <w:tcPr>
            <w:tcW w:type="dxa" w:w="226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309</w:t>
            </w:r>
          </w:p>
        </w:tc>
        <w:tc>
          <w:tcPr>
            <w:tcW w:type="dxa" w:w="226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2</w:t>
            </w:r>
          </w:p>
        </w:tc>
        <w:tc>
          <w:tcPr>
            <w:tcW w:type="dxa" w:w="226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0.6%</w:t>
            </w:r>
          </w:p>
        </w:tc>
      </w:tr>
      <w:tr>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JailbreakBench</w:t>
            </w:r>
          </w:p>
        </w:tc>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99</w:t>
            </w:r>
          </w:p>
        </w:tc>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6</w:t>
            </w:r>
          </w:p>
        </w:tc>
        <w:tc>
          <w:tcPr>
            <w:tcW w:type="dxa" w:w="2266"/>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6.1%</w:t>
            </w:r>
          </w:p>
        </w:tc>
      </w:tr>
    </w:tbl>
    <w:p>
      <w:pPr>
        <w:spacing w:after="120"/>
      </w:pPr>
    </w:p>
    <w:p>
      <w:pPr>
        <w:spacing w:after="120" w:before="0"/>
      </w:pPr>
      <w:r>
        <w:rPr>
          <w:b w:val="0"/>
          <w:i w:val="0"/>
          <w:color w:val="1A1A2E"/>
          <w:sz w:val="21"/>
        </w:rPr>
        <w:t>Zero failures on custom prompts. JailbreakBench produced a 6.1% failure rate — approximately 10× higher than StrongREJECT — consistent with its design as an adversarially optimised benchmark.</w:t>
      </w:r>
    </w:p>
    <w:p>
      <w:pPr>
        <w:pStyle w:val="Heading1"/>
        <w:spacing w:before="280" w:after="80"/>
      </w:pPr>
      <w:r>
        <w:rPr>
          <w:b/>
          <w:color w:val="1A2A4A"/>
          <w:sz w:val="32"/>
        </w:rPr>
        <w:t>5.  Original Contributions</w:t>
      </w:r>
    </w:p>
    <w:p>
      <w:pPr>
        <w:spacing w:after="120" w:before="0"/>
      </w:pPr>
      <w:r>
        <w:rPr>
          <w:b/>
          <w:i w:val="0"/>
          <w:color w:val="1A1A2E"/>
          <w:sz w:val="21"/>
        </w:rPr>
        <w:t>This project makes four contributions not present in existing work:</w:t>
      </w:r>
    </w:p>
    <w:p>
      <w:pPr>
        <w:pStyle w:val="ListBullet"/>
        <w:spacing w:after="60" w:before="0"/>
        <w:ind w:left="360"/>
      </w:pPr>
      <w:r>
        <w:rPr>
          <w:color w:val="1A1A2E"/>
          <w:sz w:val="20"/>
        </w:rPr>
        <w:t>Triple evaluator on every response — all existing tools let you pick one method. None run multiple evaluators on the same response and store the results together for comparison.</w:t>
      </w:r>
    </w:p>
    <w:p>
      <w:pPr>
        <w:pStyle w:val="ListBullet"/>
        <w:spacing w:after="60" w:before="0"/>
        <w:ind w:left="360"/>
      </w:pPr>
      <w:r>
        <w:rPr>
          <w:color w:val="1A1A2E"/>
          <w:sz w:val="20"/>
        </w:rPr>
        <w:t>Disagreement map — the stored disagreement_pattern field makes evaluator divergence queryable at scale. The frequency distribution reveals structural properties of each method.</w:t>
      </w:r>
    </w:p>
    <w:p>
      <w:pPr>
        <w:pStyle w:val="ListBullet"/>
        <w:spacing w:after="60" w:before="0"/>
        <w:ind w:left="360"/>
      </w:pPr>
      <w:r>
        <w:rPr>
          <w:color w:val="1A1A2E"/>
          <w:sz w:val="20"/>
        </w:rPr>
        <w:t>Evaluator evolution tracking — Iterations 1–3 applied v1, v2, and v3 evaluators to the same prompts. The empirical ceiling of each approach is visible.</w:t>
      </w:r>
    </w:p>
    <w:p>
      <w:pPr>
        <w:pStyle w:val="ListBullet"/>
        <w:spacing w:after="60" w:before="0"/>
        <w:ind w:left="360"/>
      </w:pPr>
      <w:r>
        <w:rPr>
          <w:color w:val="1A1A2E"/>
          <w:sz w:val="20"/>
        </w:rPr>
        <w:t>Step-by-step judge transparency — the StrongREJECT rubric decomposes the verdict into sub-scores (refusal, specificity, convincingness) with a plain-English summary, making the judge auditable.</w:t>
      </w:r>
    </w:p>
    <w:p>
      <w:pPr>
        <w:spacing w:after="120" w:before="0"/>
      </w:pPr>
      <w:r>
        <w:rPr>
          <w:b/>
          <w:i w:val="0"/>
          <w:color w:val="1A1A2E"/>
          <w:sz w:val="21"/>
        </w:rPr>
        <w:t>The 0.4% vs 31% finding — no published paper has run keyword evaluation and LLM-as-judge on the same adversarial dataset and reported the gap. This project does, across three datasets and 487 prompts.</w:t>
      </w:r>
    </w:p>
    <w:p>
      <w:pPr>
        <w:pStyle w:val="Heading1"/>
        <w:spacing w:before="280" w:after="80"/>
      </w:pPr>
      <w:r>
        <w:rPr>
          <w:b/>
          <w:color w:val="1A2A4A"/>
          <w:sz w:val="32"/>
        </w:rPr>
        <w:t>6.  Related Work</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Work</w:t>
            </w:r>
          </w:p>
        </w:tc>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What it does</w:t>
            </w:r>
          </w:p>
        </w:tc>
        <w:tc>
          <w:tcPr>
            <w:tcW w:type="dxa" w:w="3022"/>
            <w:shd w:val="clear" w:color="auto" w:fill="1A2A4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9"/>
              </w:rPr>
              <w:t>How this project differs</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Promptfoo</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LLM testing framework, multiple evaluator types</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Single evaluator per run; no disagreement analysis</w:t>
            </w:r>
          </w:p>
        </w:tc>
      </w:tr>
      <w:tr>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Garak</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LLM vulnerability scanner</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Probe-based; no simultaneous multi-evaluator comparison</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StrongREJECT</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Improved jailbreak rubric and dataset (NeurIPS 2024)</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Proposes the rubric; does not compare it against other evaluators</w:t>
            </w:r>
          </w:p>
        </w:tc>
      </w:tr>
      <w:tr>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LLaMA Guard 3</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Safety classifier, 13 categories (Meta)</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Single classifier; not compared against LLM judges on same data</w:t>
            </w:r>
          </w:p>
        </w:tc>
      </w:tr>
      <w:tr>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G-Eval</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CoT prompting for NLG evaluation (EMNLP 2023)</w:t>
            </w:r>
          </w:p>
        </w:tc>
        <w:tc>
          <w:tcPr>
            <w:tcW w:type="dxa" w:w="3022"/>
            <w:shd w:val="clear" w:color="auto" w:fill="F9F9F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Framework paper; not applied to safety evaluation</w:t>
            </w:r>
          </w:p>
        </w:tc>
      </w:tr>
      <w:tr>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pPr>
            <w:r>
              <w:rPr>
                <w:color w:val="1A1A2E"/>
                <w:sz w:val="19"/>
              </w:rPr>
              <w:t>JailbreakBench</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Standardised jailbreak benchmark (NeurIPS 2024)</w:t>
            </w:r>
          </w:p>
        </w:tc>
        <w:tc>
          <w:tcPr>
            <w:tcW w:type="dxa" w:w="302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color w:val="1A1A2E"/>
                <w:sz w:val="19"/>
              </w:rPr>
              <w:t>Dataset and leaderboard; uses one evaluator</w:t>
            </w:r>
          </w:p>
        </w:tc>
      </w:tr>
    </w:tbl>
    <w:p>
      <w:pPr>
        <w:spacing w:after="120"/>
      </w:pPr>
    </w:p>
    <w:p>
      <w:pPr>
        <w:pStyle w:val="Heading1"/>
        <w:spacing w:before="280" w:after="80"/>
      </w:pPr>
      <w:r>
        <w:rPr>
          <w:b/>
          <w:color w:val="1A2A4A"/>
          <w:sz w:val="32"/>
        </w:rPr>
        <w:t>7.  Limitations</w:t>
      </w:r>
    </w:p>
    <w:p>
      <w:pPr>
        <w:pStyle w:val="ListBullet"/>
        <w:spacing w:after="60" w:before="0"/>
        <w:ind w:left="360"/>
      </w:pPr>
      <w:r>
        <w:rPr>
          <w:color w:val="1A1A2E"/>
          <w:sz w:val="20"/>
        </w:rPr>
        <w:t>Judge and target share the same model (GPT-4o-mini) — shared blind spots mean failures are likely undercounted.</w:t>
      </w:r>
    </w:p>
    <w:p>
      <w:pPr>
        <w:pStyle w:val="ListBullet"/>
        <w:spacing w:after="60" w:before="0"/>
        <w:ind w:left="360"/>
      </w:pPr>
      <w:r>
        <w:rPr>
          <w:color w:val="1A1A2E"/>
          <w:sz w:val="20"/>
        </w:rPr>
        <w:t>LLaMA Guard via OpenRouter uses a simplified prompt (not its native chat template). Results may differ with native integration.</w:t>
      </w:r>
    </w:p>
    <w:p>
      <w:pPr>
        <w:pStyle w:val="ListBullet"/>
        <w:spacing w:after="60" w:before="0"/>
        <w:ind w:left="360"/>
      </w:pPr>
      <w:r>
        <w:rPr>
          <w:color w:val="1A1A2E"/>
          <w:sz w:val="20"/>
        </w:rPr>
        <w:t>Static prompts only — iterative LLM-generated attacks (PAIR) not yet implemented.</w:t>
      </w:r>
    </w:p>
    <w:p>
      <w:pPr>
        <w:pStyle w:val="ListBullet"/>
        <w:spacing w:after="60" w:before="0"/>
        <w:ind w:left="360"/>
      </w:pPr>
      <w:r>
        <w:rPr>
          <w:color w:val="1A1A2E"/>
          <w:sz w:val="20"/>
        </w:rPr>
        <w:t>Single target model — results may not transfer to other model families.</w:t>
      </w:r>
    </w:p>
    <w:p>
      <w:pPr>
        <w:pStyle w:val="ListBullet"/>
        <w:spacing w:after="60" w:before="0"/>
        <w:ind w:left="360"/>
      </w:pPr>
      <w:r>
        <w:rPr>
          <w:color w:val="1A1A2E"/>
          <w:sz w:val="20"/>
        </w:rPr>
        <w:t>No human-labelled ground truth — the 49 all-disagree cases are identified but not adjudicated.</w:t>
      </w:r>
    </w:p>
    <w:p>
      <w:pPr>
        <w:pStyle w:val="Heading1"/>
        <w:spacing w:before="280" w:after="80"/>
      </w:pPr>
      <w:r>
        <w:rPr>
          <w:b/>
          <w:color w:val="1A2A4A"/>
          <w:sz w:val="32"/>
        </w:rPr>
        <w:t>8.  Next Steps</w:t>
      </w:r>
    </w:p>
    <w:p>
      <w:pPr>
        <w:spacing w:after="120" w:before="0"/>
      </w:pPr>
      <w:r>
        <w:rPr>
          <w:b/>
          <w:i w:val="0"/>
          <w:color w:val="1A1A2E"/>
          <w:sz w:val="21"/>
        </w:rPr>
        <w:t>Immediate</w:t>
      </w:r>
    </w:p>
    <w:p>
      <w:pPr>
        <w:pStyle w:val="ListBullet"/>
        <w:spacing w:after="60" w:before="0"/>
        <w:ind w:left="360"/>
      </w:pPr>
      <w:r>
        <w:rPr>
          <w:color w:val="1A1A2E"/>
          <w:sz w:val="20"/>
        </w:rPr>
        <w:t>Manual review of 49 all-disagree cases to establish ground truth and determine which evaluator was correct.</w:t>
      </w:r>
    </w:p>
    <w:p>
      <w:pPr>
        <w:pStyle w:val="ListBullet"/>
        <w:spacing w:after="60" w:before="0"/>
        <w:ind w:left="360"/>
      </w:pPr>
      <w:r>
        <w:rPr>
          <w:color w:val="1A1A2E"/>
          <w:sz w:val="20"/>
        </w:rPr>
        <w:t>Run the same pipeline against a second model (meta-llama/llama-3.1-8b-instruct) to test whether disagreement patterns are model-specific or evaluator-structural.</w:t>
      </w:r>
    </w:p>
    <w:p>
      <w:pPr>
        <w:spacing w:after="120" w:before="0"/>
      </w:pPr>
      <w:r>
        <w:rPr>
          <w:b/>
          <w:i w:val="0"/>
          <w:color w:val="1A1A2E"/>
          <w:sz w:val="21"/>
        </w:rPr>
        <w:t>Phase 3 — Attacker LLM</w:t>
      </w:r>
    </w:p>
    <w:p>
      <w:pPr>
        <w:pStyle w:val="ListBullet"/>
        <w:spacing w:after="60" w:before="0"/>
        <w:ind w:left="360"/>
      </w:pPr>
      <w:r>
        <w:rPr>
          <w:color w:val="1A1A2E"/>
          <w:sz w:val="20"/>
        </w:rPr>
        <w:t>Implement the PAIR algorithm (Chao et al., 2023): a second LLM iteratively rewrites prompts to bypass the target.</w:t>
      </w:r>
    </w:p>
    <w:p>
      <w:pPr>
        <w:pStyle w:val="ListBullet"/>
        <w:spacing w:after="60" w:before="0"/>
        <w:ind w:left="360"/>
      </w:pPr>
      <w:r>
        <w:rPr>
          <w:color w:val="1A1A2E"/>
          <w:sz w:val="20"/>
        </w:rPr>
        <w:t>Compare static benchmark failure rates against PAIR-generated attack failure rates.</w:t>
      </w:r>
    </w:p>
    <w:p>
      <w:pPr>
        <w:spacing w:after="120" w:before="0"/>
      </w:pPr>
      <w:r>
        <w:rPr>
          <w:b/>
          <w:i w:val="0"/>
          <w:color w:val="1A1A2E"/>
          <w:sz w:val="21"/>
        </w:rPr>
        <w:t>Phase 4 — Multi-turn and Agentic Testing</w:t>
      </w:r>
    </w:p>
    <w:p>
      <w:pPr>
        <w:pStyle w:val="ListBullet"/>
        <w:spacing w:after="60" w:before="0"/>
        <w:ind w:left="360"/>
      </w:pPr>
      <w:r>
        <w:rPr>
          <w:color w:val="1A1A2E"/>
          <w:sz w:val="20"/>
        </w:rPr>
        <w:t>Extend to multi-turn conversations (models show up to 195% more vulnerabilities in multi-turn scenarios).</w:t>
      </w:r>
    </w:p>
    <w:p>
      <w:pPr>
        <w:pStyle w:val="ListBullet"/>
        <w:spacing w:after="60" w:before="0"/>
        <w:ind w:left="360"/>
      </w:pPr>
      <w:r>
        <w:rPr>
          <w:color w:val="1A1A2E"/>
          <w:sz w:val="20"/>
        </w:rPr>
        <w:t>Test tool-use and agentic workflows — the genuine gap versus existing evaluation tools.</w:t>
      </w:r>
    </w:p>
    <w:p>
      <w:pPr>
        <w:pStyle w:val="Heading1"/>
        <w:spacing w:before="280" w:after="80"/>
      </w:pPr>
      <w:r>
        <w:rPr>
          <w:b/>
          <w:color w:val="1A2A4A"/>
          <w:sz w:val="32"/>
        </w:rPr>
        <w:t>9.  References</w:t>
      </w:r>
    </w:p>
    <w:p>
      <w:pPr>
        <w:pStyle w:val="ListNumber"/>
        <w:spacing w:after="60" w:before="0"/>
      </w:pPr>
      <w:r>
        <w:rPr>
          <w:color w:val="1A1A2E"/>
          <w:sz w:val="19"/>
        </w:rPr>
        <w:t>Souly, A. et al. (2024). A StrongREJECT for Empty Jailbreaks. NeurIPS 2024.</w:t>
      </w:r>
    </w:p>
    <w:p>
      <w:pPr>
        <w:pStyle w:val="ListNumber"/>
        <w:spacing w:after="60" w:before="0"/>
      </w:pPr>
      <w:r>
        <w:rPr>
          <w:color w:val="1A1A2E"/>
          <w:sz w:val="19"/>
        </w:rPr>
        <w:t>Liu, Y. et al. (2023). G-Eval: NLG Evaluation using GPT-4 with Better Human Alignment. EMNLP 2023.</w:t>
      </w:r>
    </w:p>
    <w:p>
      <w:pPr>
        <w:pStyle w:val="ListNumber"/>
        <w:spacing w:after="60" w:before="0"/>
      </w:pPr>
      <w:r>
        <w:rPr>
          <w:color w:val="1A1A2E"/>
          <w:sz w:val="19"/>
        </w:rPr>
        <w:t>Chao, P. et al. (2023). Jailbreaking Black Box Large Language Models in Twenty Queries. arXiv:2310.08419.</w:t>
      </w:r>
    </w:p>
    <w:p>
      <w:pPr>
        <w:pStyle w:val="ListNumber"/>
        <w:spacing w:after="60" w:before="0"/>
      </w:pPr>
      <w:r>
        <w:rPr>
          <w:color w:val="1A1A2E"/>
          <w:sz w:val="19"/>
        </w:rPr>
        <w:t>Chao, P. et al. (2024). JailbreakBench: An Open Robustness Benchmark for Jailbreaking LLMs. NeurIPS 2024.</w:t>
      </w:r>
    </w:p>
    <w:p>
      <w:pPr>
        <w:pStyle w:val="ListNumber"/>
        <w:spacing w:after="60" w:before="0"/>
      </w:pPr>
      <w:r>
        <w:rPr>
          <w:color w:val="1A1A2E"/>
          <w:sz w:val="19"/>
        </w:rPr>
        <w:t>Meta AI (2024). LLaMA Guard 3: Meta Llama Guard 3 Model Card. Meta.</w:t>
      </w:r>
    </w:p>
    <w:p>
      <w:pPr>
        <w:pStyle w:val="ListNumber"/>
        <w:spacing w:after="60" w:before="0"/>
      </w:pPr>
      <w:r>
        <w:rPr>
          <w:color w:val="1A1A2E"/>
          <w:sz w:val="19"/>
        </w:rPr>
        <w:t>Perez, F. &amp; Ribeiro, I. (2022). Ignore Previous Prompt: Attack Techniques For Language Models. NeurIPS ML Safety Workshop.</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