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The Linguistic Blindspot: Evaluating Logic Degradation in Frontier LLMs Using Contextual Negation Riddles</w:t>
      </w:r>
    </w:p>
    <w:p>
      <w:pPr>
        <w:jc w:val="center"/>
      </w:pPr>
      <w:r>
        <w:rPr>
          <w:i/>
          <w:sz w:val="19"/>
        </w:rPr>
        <w:t>Short Research Paper | Independent Study</w:t>
      </w:r>
    </w:p>
    <w:p>
      <w:pPr>
        <w:spacing w:before="60" w:after="30"/>
      </w:pPr>
      <w:r>
        <w:rPr>
          <w:b/>
          <w:sz w:val="20"/>
        </w:rPr>
        <w:t>Abstract</w:t>
      </w:r>
    </w:p>
    <w:p>
      <w:pPr>
        <w:jc w:val="both"/>
      </w:pPr>
      <w:r>
        <w:rPr>
          <w:sz w:val="18"/>
        </w:rPr>
        <w:t>Large language models often appear reliable on ordinary language tasks, yet a small change in negation can reverse the meaning of a statement and expose fragile reasoning. This paper introduces the Contextual Negation Riddle Benchmark (CNRB), a compact evaluation framework designed to test whether a model tracks the scope, depth, and contextual effect of negation rather than reacting to surface words such as “not” or “never.” The benchmark uses minimal pairs and short logic riddles across four difficulty levels: direct negation, double negation, quantifier-scope negation, and context-dependent negation with distractors. The proposed analysis measures answer accuracy, paired consistency, correction recovery, and logic-degradation rate relative to affirmative controls. The framework is intentionally simple to reproduce, but difficult to solve through keyword matching alone. It provides a practical way to identify where fluent language generation stops short of stable semantic reasoning.</w:t>
      </w:r>
    </w:p>
    <w:p>
      <w:pPr>
        <w:spacing w:after="60"/>
      </w:pPr>
      <w:r>
        <w:rPr>
          <w:b/>
        </w:rPr>
        <w:t xml:space="preserve">Keywords: </w:t>
      </w:r>
      <w:r>
        <w:t>large language models, negation, logical reasoning, adversarial evaluation, benchmark design, semantic scope</w:t>
      </w:r>
    </w:p>
    <w:p>
      <w:pPr>
        <w:spacing w:before="60" w:after="30"/>
      </w:pPr>
      <w:r>
        <w:rPr>
          <w:b/>
          <w:sz w:val="20"/>
        </w:rPr>
        <w:t>1. Introduction</w:t>
      </w:r>
    </w:p>
    <w:p>
      <w:pPr>
        <w:ind w:firstLine="259"/>
        <w:jc w:val="both"/>
      </w:pPr>
      <w:r>
        <w:t>Negation is one of the smallest linguistic devices with one of the largest semantic effects. A single negative marker can change a true claim into a false one, reverse an instruction, or alter which conclusion follows from a set of facts. For language models, this creates a useful stress test: a system that genuinely represents meaning should remain stable when an affirmative statement is converted into a logically equivalent or contrastive negative form. Prior work shows that this stability cannot be assumed. García-Ferrero et al. found that large language models perform substantially better on affirmative statements than on negative variants and often rely on shallow cues rather than generalizing the underlying logic [1]. ScoNe-NLI further demonstrated that the scope of one or two negations can remain difficult even when models are prompted to reason step by step [2]. More recent work has continued to treat negation as a distinct capability that deserves targeted evaluation rather than a minor feature inside broad language benchmarks [3].</w:t>
      </w:r>
    </w:p>
    <w:p>
      <w:pPr>
        <w:ind w:firstLine="259"/>
        <w:jc w:val="both"/>
      </w:pPr>
      <w:r>
        <w:t>The central question of this study is therefore straightforward: how quickly does logical performance degrade as negation becomes structurally deeper and more dependent on context? Instead of using long mathematical proofs or specialist knowledge, the proposed benchmark uses short riddles written in ordinary language. This keeps the task easy for a careful human reader while making failures easier to interpret. The goal is not to create tricks for their own sake. The goal is to separate semantic understanding from pattern completion by changing only the linguistic structure that carries the logic.</w:t>
      </w:r>
    </w:p>
    <w:p>
      <w:pPr>
        <w:spacing w:before="60" w:after="30"/>
      </w:pPr>
      <w:r>
        <w:rPr>
          <w:b/>
          <w:sz w:val="20"/>
        </w:rPr>
        <w:t>2. Related Work and Research Gap</w:t>
      </w:r>
    </w:p>
    <w:p>
      <w:pPr>
        <w:ind w:firstLine="259"/>
        <w:jc w:val="both"/>
      </w:pPr>
      <w:r>
        <w:t>Research on negation in language models has developed from factual completion and natural-language inference toward more controlled tests. Hosseini et al. showed that standard pretrained models can mishandle negated knowledge and explored training objectives that explicitly penalize incorrect predictions for negated statements [4]. García-Ferrero et al. later built a large benchmark containing hundreds of thousands of commonsense sentences and reported persistent generalization problems on negative constructions [1]. ScoNe-NLI narrowed the analysis by using controlled contrast sets in which zero, one, or two negative morphemes affect the correct inference label [2]. Thunder-NUBench, introduced in 2026, evaluates sentence-level negation using carefully designed alternatives such as standard negation, local negation, contradiction, and paraphrase [3].</w:t>
      </w:r>
    </w:p>
    <w:p>
      <w:pPr>
        <w:ind w:firstLine="259"/>
        <w:jc w:val="both"/>
      </w:pPr>
      <w:r>
        <w:t>These studies establish that negation remains a meaningful weakness, but most benchmark items are evaluated as isolated sentences or inference pairs. The proposed CNRB adds a different pressure: the model must carry a negative condition through a short context, ignore irrelevant facts, and preserve logical equivalence across minimally changed versions of the same riddle. This design makes it possible to measure not only whether an answer is correct, but whether the model is consistent when the wording changes while the underlying logic does not.</w:t>
      </w:r>
    </w:p>
    <w:p>
      <w:pPr>
        <w:spacing w:before="60" w:after="30"/>
      </w:pPr>
      <w:r>
        <w:rPr>
          <w:b/>
          <w:sz w:val="20"/>
        </w:rPr>
        <w:t>3. Contextual Negation Riddle Benchmark (CNRB)</w:t>
      </w:r>
    </w:p>
    <w:p>
      <w:pPr>
        <w:ind w:firstLine="259"/>
        <w:jc w:val="both"/>
      </w:pPr>
      <w:r>
        <w:t>CNRB is organized into four levels. Level 1 uses direct negation, such as distinguishing “the switch is on” from “the switch is not on.” Level 2 introduces double negation and cancellation, where the model must resolve constructions such as “it is not true that the switch is not on.” Level 3 tests quantifier scope, including the difference between “not every sensor failed” and “every sensor did not fail,” which are superficially similar but logically distinct. Level 4 places the decisive negative relation inside a three- to five-sentence riddle containing one or more distractor facts. Each item is paired with an affirmative control and at least one paraphrase. The factual content is held constant as far as possible so that any performance change can be attributed to linguistic structure rather than background knowledge.</w:t>
      </w:r>
    </w:p>
    <w:p>
      <w:pPr>
        <w:ind w:firstLine="259"/>
        <w:jc w:val="both"/>
      </w:pPr>
      <w:r>
        <w:t>A reproducible implementation can store each item with fields for item ID, negation level, context, question, gold answer, paired-control ID, and explanation. Python can be used for dataset validation and scoring, while SQL supports grouped error analysis across categories and model runs. The benchmark should be reviewed manually to remove ambiguous items, especially in quantifier-scope cases where ordinary conversational interpretations may differ from strict logical readings. The final test set should remain hidden during prompt development to reduce accidental tuning to individual riddles.</w:t>
      </w:r>
    </w:p>
    <w:p>
      <w:pPr>
        <w:spacing w:before="60" w:after="30"/>
      </w:pPr>
      <w:r>
        <w:rPr>
          <w:b/>
          <w:sz w:val="20"/>
        </w:rPr>
        <w:t>4. Evaluation Metrics and Analysis</w:t>
      </w:r>
    </w:p>
    <w:p>
      <w:pPr>
        <w:ind w:firstLine="259"/>
        <w:jc w:val="both"/>
      </w:pPr>
      <w:r>
        <w:t>Four metrics are proposed. Accuracy measures whether the final answer matches the gold label. Paired consistency measures whether the model gives logically compatible answers to an affirmative item and its negated or paraphrased counterpart. Correction recovery tests whether the model can revise an initially wrong answer after receiving a short, neutral instruction to re-check the scope of negation. Finally, logic-degradation rate is defined as the drop in accuracy from affirmative controls to their matched negation variants. Reporting results by level is more informative than one overall score because a model may handle direct negation well while failing on quantifier scope or contextual interference.</w:t>
      </w:r>
    </w:p>
    <w:p>
      <w:pPr>
        <w:ind w:firstLine="259"/>
        <w:jc w:val="both"/>
      </w:pPr>
      <w:r>
        <w:t>The analysis should also separate answer quality from explanation quality. A fluent rationale can still support an incorrect conclusion, so the gold label must be scored independently. Error tags can capture common patterns such as dropped negation, incorrect scope, double-negation collapse, distractor substitution, and contradiction between the stated rationale and final answer. This produces a failure map that is more useful than a single leaderboard number and can guide targeted prompt design, fine-tuning, or data augmentation.</w:t>
      </w:r>
    </w:p>
    <w:p>
      <w:pPr>
        <w:spacing w:before="60" w:after="30"/>
      </w:pPr>
      <w:r>
        <w:rPr>
          <w:b/>
          <w:sz w:val="20"/>
        </w:rPr>
        <w:t>5. Research Questions and Methodological Controls</w:t>
      </w:r>
    </w:p>
    <w:p>
      <w:pPr>
        <w:ind w:firstLine="259"/>
        <w:jc w:val="both"/>
      </w:pPr>
      <w:r>
        <w:t>The benchmark is designed around four research questions. RQ1 asks whether accuracy decreases monotonically as negation moves from direct forms to double negation, quantifier scope, and contextual dependence. RQ2 asks whether models remain consistent across minimal pairs that preserve the same underlying facts. RQ3 asks whether a neutral request to re-check the scope of negation helps a model recover from an initial error, or merely changes the wording of its explanation. RQ4 asks whether a model can correctly reject a tempting but invalid inference when an irrelevant negative statement is inserted into the context. Together, these questions separate basic recognition of negative words from the harder problem of maintaining a stable logical representation.</w:t>
      </w:r>
    </w:p>
    <w:p>
      <w:pPr>
        <w:ind w:firstLine="259"/>
        <w:jc w:val="both"/>
      </w:pPr>
      <w:r>
        <w:t>Several controls are necessary for a credible comparison. Gold answers should be balanced so that “yes” or “no” is not a useful shortcut. Lexical cues should be varied across items, and affirmative/negative pairs should be presented in randomized order to reduce carry-over effects. Each riddle should receive independent human review for ambiguity before it enters the final test set. When models permit stochastic decoding, repeated runs should be reported rather than selecting a single favorable response. Temperature, system instructions, model version, and date of evaluation should also be recorded because these settings can materially change behavior. These controls make the benchmark small enough to audit but rigorous enough to reproduce.</w:t>
      </w:r>
    </w:p>
    <w:p>
      <w:pPr>
        <w:spacing w:before="60" w:after="30"/>
      </w:pPr>
      <w:r>
        <w:rPr>
          <w:b/>
          <w:sz w:val="20"/>
        </w:rPr>
        <w:t>6. Practical Significance and Limitations</w:t>
      </w:r>
    </w:p>
    <w:p>
      <w:pPr>
        <w:ind w:firstLine="259"/>
        <w:jc w:val="both"/>
      </w:pPr>
      <w:r>
        <w:t>Negation errors matter because ordinary users frequently express constraints through negative language: what should not happen, which condition is not satisfied, or which option is excluded. A model that handles positive statements reliably but becomes unstable after a small negative transformation may appear more capable than it is. CNRB is designed as a lightweight diagnostic for that gap. Its minimal-pair structure makes failures auditable because reviewers can identify exactly which linguistic change disrupted the reasoning path.</w:t>
      </w:r>
    </w:p>
    <w:p>
      <w:pPr>
        <w:ind w:firstLine="259"/>
        <w:jc w:val="both"/>
      </w:pPr>
      <w:r>
        <w:t>The framework is intentionally narrow. Performance on short English riddles does not establish general reasoning ability, and success may not transfer to other languages, longer documents, or domain-specific instructions. The benchmark also cannot by itself reveal whether a failure comes from internal representation, decoding, or prompt sensitivity. Its value is diagnostic rather than comprehensive: it isolates one well-defined source of fragility and produces error patterns that can motivate deeper experiments.</w:t>
      </w:r>
    </w:p>
    <w:p>
      <w:pPr>
        <w:spacing w:before="60" w:after="30"/>
      </w:pPr>
      <w:r>
        <w:rPr>
          <w:b/>
          <w:sz w:val="20"/>
        </w:rPr>
        <w:t>7. Conclusion</w:t>
      </w:r>
    </w:p>
    <w:p>
      <w:pPr>
        <w:ind w:firstLine="259"/>
        <w:jc w:val="both"/>
      </w:pPr>
      <w:r>
        <w:t>This paper proposes a focused method for examining a linguistic blindspot in frontier language models: the loss of logical stability under contextual negation. Existing research already shows that negation is difficult for modern language models; CNRB extends that line of work by combining minimal pairs, graded negation depth, and short contextual riddles. The framework emphasizes interpretable failure analysis rather than opaque aggregate scoring. A strong model should not merely recognize negative words; it should preserve the relationships that those words create across a context. Measuring that ability directly is a small but concrete step toward more dependable reasoning systems.</w:t>
      </w:r>
    </w:p>
    <w:p>
      <w:pPr>
        <w:spacing w:before="60" w:after="30"/>
      </w:pPr>
      <w:r>
        <w:rPr>
          <w:b/>
          <w:sz w:val="20"/>
        </w:rPr>
        <w:t>References</w:t>
      </w:r>
    </w:p>
    <w:p>
      <w:pPr>
        <w:spacing w:after="20"/>
        <w:ind w:left="230" w:hanging="230"/>
        <w:jc w:val="both"/>
      </w:pPr>
      <w:r>
        <w:rPr>
          <w:sz w:val="16"/>
        </w:rPr>
        <w:t>[1] I. García-Ferrero, B. Altuna, J. Alvez, I. Gonzalez-Dios, and G. Rigau, “This is not a Dataset: A Large Negation Benchmark to Challenge Large Language Models,” EMNLP, 2023, pp. 8596–8615. doi:10.18653/v1/2023.emnlp-main.531.</w:t>
      </w:r>
    </w:p>
    <w:p>
      <w:pPr>
        <w:spacing w:after="20"/>
        <w:ind w:left="230" w:hanging="230"/>
        <w:jc w:val="both"/>
      </w:pPr>
      <w:r>
        <w:rPr>
          <w:sz w:val="16"/>
        </w:rPr>
        <w:t>[2] J. S. She, C. Potts, S. R. Bowman, and A. Geiger, “ScoNe: Benchmarking Negation Reasoning in Language Models With Fine-Tuning and In-Context Learning,” ACL, 2023.</w:t>
      </w:r>
    </w:p>
    <w:p>
      <w:pPr>
        <w:spacing w:after="20"/>
        <w:ind w:left="230" w:hanging="230"/>
        <w:jc w:val="both"/>
      </w:pPr>
      <w:r>
        <w:rPr>
          <w:sz w:val="16"/>
        </w:rPr>
        <w:t>[3] Y. So, G. Lee, S. Jung, J. Lee, J. Kang, S. Kim, and J. Lee, “Thunder-NUBench: A Benchmark for LLMs’ Sentence-Level Negation Understanding,” Findings of EACL, 2026, pp. 4749–4793. doi:10.18653/v1/2026.findings-eacl.250.</w:t>
      </w:r>
    </w:p>
    <w:p>
      <w:pPr>
        <w:spacing w:after="20"/>
        <w:ind w:left="230" w:hanging="230"/>
        <w:jc w:val="both"/>
      </w:pPr>
      <w:r>
        <w:rPr>
          <w:sz w:val="16"/>
        </w:rPr>
        <w:t>[4] A. Hosseini, S. Reddy, D. Bahdanau, R. D. Hjelm, A. Sordoni, and A. Courville, “Understanding by Understanding Not: Modeling Negation in Language Models,” NAACL, 2021.</w:t>
      </w:r>
    </w:p>
    <w:p>
      <w:pPr>
        <w:spacing w:before="60" w:after="30"/>
      </w:pPr>
      <w:r>
        <w:rPr>
          <w:b/>
          <w:sz w:val="20"/>
        </w:rPr>
        <w:t>Project Note</w:t>
      </w:r>
    </w:p>
    <w:p>
      <w:pPr>
        <w:jc w:val="both"/>
      </w:pPr>
      <w:r>
        <w:rPr>
          <w:b/>
          <w:sz w:val="17"/>
        </w:rPr>
        <w:t xml:space="preserve">Role: </w:t>
      </w:r>
      <w:r>
        <w:rPr>
          <w:sz w:val="17"/>
        </w:rPr>
        <w:t xml:space="preserve">Independent researcher / benchmark designer.  </w:t>
      </w:r>
      <w:r>
        <w:rPr>
          <w:b/>
          <w:sz w:val="17"/>
        </w:rPr>
        <w:t xml:space="preserve">Suggested tools: </w:t>
      </w:r>
      <w:r>
        <w:rPr>
          <w:sz w:val="17"/>
        </w:rPr>
        <w:t xml:space="preserve">Python, pandas, SQL, Jupyter Notebook.  </w:t>
      </w:r>
      <w:r>
        <w:rPr>
          <w:b/>
          <w:sz w:val="17"/>
        </w:rPr>
        <w:t xml:space="preserve">Deliverable: </w:t>
      </w:r>
      <w:r>
        <w:rPr>
          <w:sz w:val="17"/>
        </w:rPr>
        <w:t>CNRB dataset, scoring script, error taxonomy, and model-comparison report. Only list tools, experiments, or results that you personally complete and can explain.</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