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 w:line="240" w:lineRule="auto"/>
        <w:jc w:val="center"/>
        <w:rPr>
          <w:sz w:val="32"/>
          <w:szCs w:val="32"/>
        </w:rPr>
      </w:pPr>
      <w:r>
        <w:rPr>
          <w:b/>
          <w:bCs/>
          <w:sz w:val="40"/>
          <w:szCs w:val="40"/>
          <w:rtl w:val="0"/>
        </w:rPr>
        <w:t>Internship Weekly Report</w:t>
      </w:r>
    </w:p>
    <w:p w14:paraId="00000002">
      <w:pPr>
        <w:spacing w:after="20" w:line="240" w:lineRule="auto"/>
        <w:jc w:val="center"/>
        <w:rPr>
          <w:b/>
          <w:bCs/>
          <w:sz w:val="28"/>
          <w:szCs w:val="28"/>
        </w:rPr>
      </w:pPr>
      <w:r>
        <w:rPr>
          <w:b/>
          <w:bCs/>
          <w:sz w:val="30"/>
          <w:szCs w:val="30"/>
          <w:rtl w:val="0"/>
        </w:rPr>
        <w:t>Shekhar Singh Rawal</w:t>
      </w:r>
    </w:p>
    <w:p w14:paraId="00000003">
      <w:pPr>
        <w:spacing w:after="260" w:line="240" w:lineRule="auto"/>
        <w:jc w:val="center"/>
        <w:rPr>
          <w:rFonts w:ascii="Calibri" w:hAnsi="Calibri" w:eastAsia="Calibri" w:cs="Calibri"/>
          <w:b/>
          <w:bCs/>
          <w:sz w:val="28"/>
          <w:szCs w:val="28"/>
        </w:rPr>
      </w:pPr>
      <w:r>
        <w:rPr>
          <w:sz w:val="22"/>
          <w:szCs w:val="22"/>
          <w:rtl w:val="0"/>
        </w:rPr>
        <w:t>From September 8, 2026 to September 12, 2026 (Week 2)</w:t>
      </w:r>
    </w:p>
    <w:p w14:paraId="00000004">
      <w:pPr>
        <w:spacing w:after="0" w:line="276" w:lineRule="auto"/>
        <w:rPr>
          <w:sz w:val="22"/>
          <w:szCs w:val="22"/>
        </w:rPr>
      </w:pPr>
      <w:r>
        <w:rPr>
          <w:rFonts w:ascii="Calibri" w:hAnsi="Calibri" w:eastAsia="Calibri" w:cs="Calibri"/>
          <w:b/>
          <w:bCs/>
          <w:rtl w:val="0"/>
        </w:rPr>
        <w:t>Assignments and Status:</w:t>
      </w:r>
    </w:p>
    <w:tbl>
      <w:tblPr>
        <w:tblStyle w:val="13"/>
        <w:tblW w:w="9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50"/>
        <w:gridCol w:w="6300"/>
        <w:gridCol w:w="1000"/>
        <w:gridCol w:w="1390"/>
      </w:tblGrid>
      <w:tr w14:paraId="058AB799">
        <w:trPr>
          <w:tblHeader/>
        </w:trPr>
        <w:tc>
          <w:tcPr>
            <w:shd w:val="clear" w:color="auto" w:fill="D9D9D9"/>
            <w:tcMar>
              <w:top w:w="80" w:type="dxa"/>
              <w:left w:w="100" w:type="dxa"/>
              <w:bottom w:w="80" w:type="dxa"/>
              <w:right w:w="100" w:type="dxa"/>
            </w:tcMar>
            <w:vAlign w:val="center"/>
          </w:tcPr>
          <w:p w14:paraId="00000005">
            <w:pPr>
              <w:spacing w:line="240" w:lineRule="auto"/>
              <w:rPr>
                <w:sz w:val="20"/>
                <w:szCs w:val="20"/>
              </w:rPr>
            </w:pPr>
            <w:r>
              <w:rPr>
                <w:rFonts w:ascii="Calibri" w:hAnsi="Calibri" w:eastAsia="Calibri" w:cs="Calibri"/>
                <w:b/>
                <w:bCs/>
                <w:sz w:val="20"/>
                <w:szCs w:val="20"/>
                <w:rtl w:val="0"/>
              </w:rPr>
              <w:t>Date</w:t>
            </w:r>
          </w:p>
        </w:tc>
        <w:tc>
          <w:tcPr>
            <w:shd w:val="clear" w:color="auto" w:fill="D9D9D9"/>
            <w:tcMar>
              <w:top w:w="80" w:type="dxa"/>
              <w:left w:w="100" w:type="dxa"/>
              <w:bottom w:w="80" w:type="dxa"/>
              <w:right w:w="100" w:type="dxa"/>
            </w:tcMar>
            <w:vAlign w:val="center"/>
          </w:tcPr>
          <w:p w14:paraId="00000006">
            <w:pPr>
              <w:spacing w:line="240" w:lineRule="auto"/>
              <w:rPr>
                <w:sz w:val="20"/>
                <w:szCs w:val="20"/>
              </w:rPr>
            </w:pPr>
            <w:r>
              <w:rPr>
                <w:rFonts w:ascii="Calibri" w:hAnsi="Calibri" w:eastAsia="Calibri" w:cs="Calibri"/>
                <w:b/>
                <w:bCs/>
                <w:sz w:val="20"/>
                <w:szCs w:val="20"/>
                <w:rtl w:val="0"/>
              </w:rPr>
              <w:t>Major Assignments</w:t>
            </w:r>
          </w:p>
        </w:tc>
        <w:tc>
          <w:tcPr>
            <w:shd w:val="clear" w:color="auto" w:fill="D9D9D9"/>
            <w:tcMar>
              <w:top w:w="80" w:type="dxa"/>
              <w:left w:w="100" w:type="dxa"/>
              <w:bottom w:w="80" w:type="dxa"/>
              <w:right w:w="100" w:type="dxa"/>
            </w:tcMar>
            <w:vAlign w:val="center"/>
          </w:tcPr>
          <w:p w14:paraId="00000007">
            <w:pPr>
              <w:spacing w:line="240" w:lineRule="auto"/>
              <w:rPr>
                <w:sz w:val="20"/>
                <w:szCs w:val="20"/>
              </w:rPr>
            </w:pPr>
            <w:r>
              <w:rPr>
                <w:rFonts w:ascii="Calibri" w:hAnsi="Calibri" w:eastAsia="Calibri" w:cs="Calibri"/>
                <w:b/>
                <w:bCs/>
                <w:sz w:val="20"/>
                <w:szCs w:val="20"/>
                <w:rtl w:val="0"/>
              </w:rPr>
              <w:t>Log Hour</w:t>
            </w:r>
          </w:p>
        </w:tc>
        <w:tc>
          <w:tcPr>
            <w:shd w:val="clear" w:color="auto" w:fill="D9D9D9"/>
            <w:tcMar>
              <w:top w:w="80" w:type="dxa"/>
              <w:left w:w="100" w:type="dxa"/>
              <w:bottom w:w="80" w:type="dxa"/>
              <w:right w:w="100" w:type="dxa"/>
            </w:tcMar>
            <w:vAlign w:val="center"/>
          </w:tcPr>
          <w:p w14:paraId="00000008">
            <w:pPr>
              <w:spacing w:line="240" w:lineRule="auto"/>
              <w:rPr>
                <w:sz w:val="20"/>
                <w:szCs w:val="20"/>
              </w:rPr>
            </w:pPr>
            <w:r>
              <w:rPr>
                <w:rFonts w:ascii="Calibri" w:hAnsi="Calibri" w:eastAsia="Calibri" w:cs="Calibri"/>
                <w:b/>
                <w:bCs/>
                <w:sz w:val="20"/>
                <w:szCs w:val="20"/>
                <w:rtl w:val="0"/>
              </w:rPr>
              <w:t>Status</w:t>
            </w:r>
          </w:p>
        </w:tc>
      </w:tr>
      <w:tr w14:paraId="14D8F96E">
        <w:tc>
          <w:tcPr>
            <w:tcMar>
              <w:top w:w="100" w:type="dxa"/>
              <w:left w:w="100" w:type="dxa"/>
              <w:bottom w:w="100" w:type="dxa"/>
              <w:right w:w="100" w:type="dxa"/>
            </w:tcMar>
            <w:vAlign w:val="top"/>
          </w:tcPr>
          <w:p w14:paraId="00000009">
            <w:pPr>
              <w:spacing w:line="240" w:lineRule="auto"/>
              <w:rPr>
                <w:sz w:val="20"/>
                <w:szCs w:val="20"/>
              </w:rPr>
            </w:pPr>
            <w:r>
              <w:rPr>
                <w:rFonts w:ascii="Calibri" w:hAnsi="Calibri" w:eastAsia="Calibri" w:cs="Calibri"/>
                <w:b/>
                <w:bCs/>
                <w:sz w:val="20"/>
                <w:szCs w:val="20"/>
                <w:rtl w:val="0"/>
              </w:rPr>
              <w:t>Day 1</w:t>
            </w:r>
          </w:p>
        </w:tc>
        <w:tc>
          <w:tcPr>
            <w:tcMar>
              <w:top w:w="100" w:type="dxa"/>
              <w:left w:w="100" w:type="dxa"/>
              <w:bottom w:w="100" w:type="dxa"/>
              <w:right w:w="100" w:type="dxa"/>
            </w:tcMar>
            <w:vAlign w:val="top"/>
          </w:tcPr>
          <w:p w14:paraId="0000000A">
            <w:pPr>
              <w:numPr>
                <w:ilvl w:val="0"/>
                <w:numId w:val="1"/>
              </w:numPr>
              <w:spacing w:after="60" w:line="264" w:lineRule="auto"/>
              <w:ind w:left="720" w:hanging="360"/>
              <w:rPr>
                <w:sz w:val="20"/>
                <w:szCs w:val="20"/>
              </w:rPr>
            </w:pPr>
            <w:r>
              <w:rPr>
                <w:rFonts w:ascii="Calibri" w:hAnsi="Calibri" w:eastAsia="Calibri" w:cs="Calibri"/>
                <w:sz w:val="20"/>
                <w:szCs w:val="20"/>
                <w:rtl w:val="0"/>
              </w:rPr>
              <w:t>Test Case Elements &amp; Effective Writing: Studied pre-condition, test steps, expected result, post-condition, and the characteristics of effective, traceable test cases.</w:t>
            </w:r>
          </w:p>
          <w:p w14:paraId="0000000B">
            <w:pPr>
              <w:numPr>
                <w:ilvl w:val="0"/>
                <w:numId w:val="1"/>
              </w:numPr>
              <w:spacing w:after="60" w:line="264" w:lineRule="auto"/>
              <w:ind w:left="720" w:hanging="360"/>
              <w:rPr>
                <w:sz w:val="20"/>
                <w:szCs w:val="20"/>
              </w:rPr>
            </w:pPr>
            <w:r>
              <w:rPr>
                <w:rFonts w:ascii="Calibri" w:hAnsi="Calibri" w:eastAsia="Calibri" w:cs="Calibri"/>
                <w:sz w:val="20"/>
                <w:szCs w:val="20"/>
                <w:rtl w:val="0"/>
              </w:rPr>
              <w:t>Positive &amp; Negative Test Cases: Distinguished testing with valid input from testing with invalid input/conditions.</w:t>
            </w:r>
          </w:p>
          <w:p w14:paraId="0000000C">
            <w:pPr>
              <w:numPr>
                <w:ilvl w:val="0"/>
                <w:numId w:val="1"/>
              </w:numPr>
              <w:spacing w:after="60" w:line="264" w:lineRule="auto"/>
              <w:ind w:left="720" w:hanging="360"/>
              <w:rPr>
                <w:sz w:val="20"/>
                <w:szCs w:val="20"/>
              </w:rPr>
            </w:pPr>
            <w:r>
              <w:rPr>
                <w:rFonts w:ascii="Calibri" w:hAnsi="Calibri" w:eastAsia="Calibri" w:cs="Calibri"/>
                <w:sz w:val="20"/>
                <w:szCs w:val="20"/>
                <w:rtl w:val="0"/>
              </w:rPr>
              <w:t>Test Case Prioritisation: Studied risk-based, coverage-based, and requirement-based prioritisation approaches.</w:t>
            </w:r>
          </w:p>
          <w:p w14:paraId="0000000D">
            <w:pPr>
              <w:numPr>
                <w:ilvl w:val="0"/>
                <w:numId w:val="1"/>
              </w:numPr>
              <w:spacing w:after="60" w:line="264" w:lineRule="auto"/>
              <w:ind w:left="720" w:hanging="360"/>
              <w:rPr>
                <w:sz w:val="20"/>
                <w:szCs w:val="20"/>
              </w:rPr>
            </w:pPr>
            <w:r>
              <w:rPr>
                <w:rFonts w:ascii="Calibri" w:hAnsi="Calibri" w:eastAsia="Calibri" w:cs="Calibri"/>
                <w:sz w:val="20"/>
                <w:szCs w:val="20"/>
                <w:rtl w:val="0"/>
              </w:rPr>
              <w:t>Test Coverage &amp; Requirement Traceability: Studied requirement, functional, and code coverage, and the traceability flow Requirement → Test Condition → Test Case → Defect.</w:t>
            </w:r>
          </w:p>
          <w:p w14:paraId="0000000E">
            <w:pPr>
              <w:numPr>
                <w:ilvl w:val="0"/>
                <w:numId w:val="1"/>
              </w:numPr>
              <w:spacing w:after="60" w:line="264" w:lineRule="auto"/>
              <w:ind w:left="720" w:hanging="360"/>
              <w:rPr>
                <w:sz w:val="20"/>
                <w:szCs w:val="20"/>
              </w:rPr>
            </w:pPr>
            <w:r>
              <w:rPr>
                <w:rFonts w:ascii="Calibri" w:hAnsi="Calibri" w:eastAsia="Calibri" w:cs="Calibri"/>
                <w:sz w:val="20"/>
                <w:szCs w:val="20"/>
                <w:rtl w:val="0"/>
              </w:rPr>
              <w:t>STLC &amp; Bug Life Cycle: Studied the six STLC stages, the bug life cycle (New → Open → Fixed → Retest → Closed), and bug report elements (Severity vs. Priority).</w:t>
            </w:r>
          </w:p>
          <w:p w14:paraId="0000000F">
            <w:pPr>
              <w:numPr>
                <w:ilvl w:val="0"/>
                <w:numId w:val="1"/>
              </w:numPr>
              <w:spacing w:after="60" w:line="264" w:lineRule="auto"/>
              <w:ind w:left="720" w:hanging="360"/>
              <w:rPr>
                <w:sz w:val="20"/>
                <w:szCs w:val="20"/>
              </w:rPr>
            </w:pPr>
            <w:r>
              <w:rPr>
                <w:rFonts w:ascii="Calibri" w:hAnsi="Calibri" w:eastAsia="Calibri" w:cs="Calibri"/>
                <w:sz w:val="20"/>
                <w:szCs w:val="20"/>
                <w:rtl w:val="0"/>
              </w:rPr>
              <w:t>Practical: Designed positive, negative, and edge-case test cases for the Aaravya Clothing/Benefit Store website up to Add-to-Cart, applied risk/coverage/requirement-based prioritisation and requirement traceability, and reviewed AI-generated login test cases.</w:t>
            </w:r>
          </w:p>
          <w:p w14:paraId="00000010">
            <w:pPr>
              <w:spacing w:before="100" w:after="20" w:line="240" w:lineRule="auto"/>
              <w:rPr>
                <w:sz w:val="20"/>
                <w:szCs w:val="20"/>
              </w:rPr>
            </w:pPr>
            <w:r>
              <w:rPr>
                <w:rFonts w:ascii="Calibri" w:hAnsi="Calibri" w:eastAsia="Calibri" w:cs="Calibri"/>
                <w:b/>
                <w:bCs/>
                <w:sz w:val="20"/>
                <w:szCs w:val="20"/>
                <w:rtl w:val="0"/>
              </w:rPr>
              <w:t xml:space="preserve">Daily Report Link: </w:t>
            </w:r>
            <w:r>
              <w:fldChar w:fldCharType="begin"/>
            </w:r>
            <w:r>
              <w:instrText xml:space="preserve"> HYPERLINK "https://chatcloudtechservice-my.sharepoint.com/:b:/g/personal/yudin_cloudtechservice_com/IQCqePvqPYpuQak17eGVSc8eAed8A4t77KQxgwMLqAfnCUQ?e=TflaE3" \h </w:instrText>
            </w:r>
            <w:r>
              <w:fldChar w:fldCharType="separate"/>
            </w:r>
            <w:r>
              <w:rPr>
                <w:color w:val="1155CC"/>
                <w:sz w:val="20"/>
                <w:szCs w:val="20"/>
                <w:u w:val="single"/>
                <w:rtl w:val="0"/>
              </w:rPr>
              <w:t>W2Day1.pdf</w:t>
            </w:r>
            <w:r>
              <w:rPr>
                <w:color w:val="1155CC"/>
                <w:sz w:val="20"/>
                <w:szCs w:val="20"/>
                <w:u w:val="single"/>
                <w:rtl w:val="0"/>
              </w:rPr>
              <w:fldChar w:fldCharType="end"/>
            </w:r>
          </w:p>
        </w:tc>
        <w:tc>
          <w:tcPr>
            <w:tcMar>
              <w:top w:w="100" w:type="dxa"/>
              <w:left w:w="100" w:type="dxa"/>
              <w:bottom w:w="100" w:type="dxa"/>
              <w:right w:w="100" w:type="dxa"/>
            </w:tcMar>
            <w:vAlign w:val="top"/>
          </w:tcPr>
          <w:p w14:paraId="00000011">
            <w:pPr>
              <w:spacing w:line="240" w:lineRule="auto"/>
              <w:rPr>
                <w:rFonts w:hint="default"/>
                <w:sz w:val="20"/>
                <w:szCs w:val="20"/>
                <w:lang w:val="en-US"/>
              </w:rPr>
            </w:pPr>
            <w:r>
              <w:rPr>
                <w:rFonts w:ascii="Calibri" w:hAnsi="Calibri" w:eastAsia="Calibri" w:cs="Calibri"/>
                <w:sz w:val="20"/>
                <w:szCs w:val="20"/>
                <w:rtl w:val="0"/>
              </w:rPr>
              <w:t>8.</w:t>
            </w:r>
            <w:r>
              <w:rPr>
                <w:rFonts w:hint="default" w:ascii="Calibri" w:hAnsi="Calibri" w:eastAsia="Calibri" w:cs="Calibri"/>
                <w:sz w:val="20"/>
                <w:szCs w:val="20"/>
                <w:rtl w:val="0"/>
                <w:lang w:val="en-US"/>
              </w:rPr>
              <w:t>93</w:t>
            </w:r>
          </w:p>
        </w:tc>
        <w:tc>
          <w:tcPr>
            <w:tcMar>
              <w:top w:w="100" w:type="dxa"/>
              <w:left w:w="100" w:type="dxa"/>
              <w:bottom w:w="100" w:type="dxa"/>
              <w:right w:w="100" w:type="dxa"/>
            </w:tcMar>
            <w:vAlign w:val="top"/>
          </w:tcPr>
          <w:p w14:paraId="00000012">
            <w:pPr>
              <w:spacing w:line="240" w:lineRule="auto"/>
              <w:rPr>
                <w:sz w:val="20"/>
                <w:szCs w:val="20"/>
              </w:rPr>
            </w:pPr>
            <w:r>
              <w:rPr>
                <w:rFonts w:ascii="Calibri" w:hAnsi="Calibri" w:eastAsia="Calibri" w:cs="Calibri"/>
                <w:sz w:val="20"/>
                <w:szCs w:val="20"/>
                <w:rtl w:val="0"/>
              </w:rPr>
              <w:t>Completed</w:t>
            </w:r>
          </w:p>
        </w:tc>
      </w:tr>
      <w:tr w14:paraId="48D19BEB">
        <w:tc>
          <w:tcPr>
            <w:tcMar>
              <w:top w:w="100" w:type="dxa"/>
              <w:left w:w="100" w:type="dxa"/>
              <w:bottom w:w="100" w:type="dxa"/>
              <w:right w:w="100" w:type="dxa"/>
            </w:tcMar>
            <w:vAlign w:val="top"/>
          </w:tcPr>
          <w:p w14:paraId="00000013">
            <w:pPr>
              <w:spacing w:line="240" w:lineRule="auto"/>
              <w:rPr>
                <w:sz w:val="20"/>
                <w:szCs w:val="20"/>
              </w:rPr>
            </w:pPr>
            <w:r>
              <w:rPr>
                <w:rFonts w:ascii="Calibri" w:hAnsi="Calibri" w:eastAsia="Calibri" w:cs="Calibri"/>
                <w:b/>
                <w:bCs/>
                <w:sz w:val="20"/>
                <w:szCs w:val="20"/>
                <w:rtl w:val="0"/>
              </w:rPr>
              <w:t>Day 2</w:t>
            </w:r>
          </w:p>
        </w:tc>
        <w:tc>
          <w:tcPr>
            <w:tcMar>
              <w:top w:w="100" w:type="dxa"/>
              <w:left w:w="100" w:type="dxa"/>
              <w:bottom w:w="100" w:type="dxa"/>
              <w:right w:w="100" w:type="dxa"/>
            </w:tcMar>
            <w:vAlign w:val="top"/>
          </w:tcPr>
          <w:p w14:paraId="00000014">
            <w:pPr>
              <w:numPr>
                <w:ilvl w:val="0"/>
                <w:numId w:val="1"/>
              </w:numPr>
              <w:spacing w:after="60" w:line="264" w:lineRule="auto"/>
              <w:ind w:left="720" w:hanging="360"/>
              <w:rPr>
                <w:sz w:val="20"/>
                <w:szCs w:val="20"/>
              </w:rPr>
            </w:pPr>
            <w:r>
              <w:rPr>
                <w:rFonts w:ascii="Calibri" w:hAnsi="Calibri" w:eastAsia="Calibri" w:cs="Calibri"/>
                <w:sz w:val="20"/>
                <w:szCs w:val="20"/>
                <w:rtl w:val="0"/>
              </w:rPr>
              <w:t>Black-Box Testing: Studied testing based on inputs and outputs without examining internal code.</w:t>
            </w:r>
          </w:p>
          <w:p w14:paraId="00000015">
            <w:pPr>
              <w:numPr>
                <w:ilvl w:val="0"/>
                <w:numId w:val="1"/>
              </w:numPr>
              <w:spacing w:after="60" w:line="264" w:lineRule="auto"/>
              <w:ind w:left="720" w:hanging="360"/>
              <w:rPr>
                <w:sz w:val="20"/>
                <w:szCs w:val="20"/>
              </w:rPr>
            </w:pPr>
            <w:r>
              <w:rPr>
                <w:rFonts w:ascii="Calibri" w:hAnsi="Calibri" w:eastAsia="Calibri" w:cs="Calibri"/>
                <w:sz w:val="20"/>
                <w:szCs w:val="20"/>
                <w:rtl w:val="0"/>
              </w:rPr>
              <w:t>Equivalence Partitioning (EP) &amp; Boundary Value Analysis (BVA): Applied together on a phone-number field to reduce test cases while maintaining coverage.</w:t>
            </w:r>
          </w:p>
          <w:p w14:paraId="00000016">
            <w:pPr>
              <w:numPr>
                <w:ilvl w:val="0"/>
                <w:numId w:val="1"/>
              </w:numPr>
              <w:spacing w:after="60" w:line="264" w:lineRule="auto"/>
              <w:ind w:left="720" w:hanging="360"/>
              <w:rPr>
                <w:sz w:val="20"/>
                <w:szCs w:val="20"/>
              </w:rPr>
            </w:pPr>
            <w:r>
              <w:rPr>
                <w:rFonts w:ascii="Calibri" w:hAnsi="Calibri" w:eastAsia="Calibri" w:cs="Calibri"/>
                <w:sz w:val="20"/>
                <w:szCs w:val="20"/>
                <w:rtl w:val="0"/>
              </w:rPr>
              <w:t>Decision Table Testing: Applied to a loan-approval rule and an ATM cash-dispensing scenario with multiple conditions.</w:t>
            </w:r>
          </w:p>
          <w:p w14:paraId="00000017">
            <w:pPr>
              <w:numPr>
                <w:ilvl w:val="0"/>
                <w:numId w:val="1"/>
              </w:numPr>
              <w:spacing w:after="60" w:line="264" w:lineRule="auto"/>
              <w:ind w:left="720" w:hanging="360"/>
              <w:rPr>
                <w:sz w:val="20"/>
                <w:szCs w:val="20"/>
              </w:rPr>
            </w:pPr>
            <w:r>
              <w:rPr>
                <w:rFonts w:ascii="Calibri" w:hAnsi="Calibri" w:eastAsia="Calibri" w:cs="Calibri"/>
                <w:sz w:val="20"/>
                <w:szCs w:val="20"/>
                <w:rtl w:val="0"/>
              </w:rPr>
              <w:t>State Transition Testing: Applied to an ATM PIN-entry flow and an order-lifecycle diagram.</w:t>
            </w:r>
          </w:p>
          <w:p w14:paraId="00000018">
            <w:pPr>
              <w:numPr>
                <w:ilvl w:val="0"/>
                <w:numId w:val="1"/>
              </w:numPr>
              <w:spacing w:after="60" w:line="264" w:lineRule="auto"/>
              <w:ind w:left="720" w:hanging="360"/>
              <w:rPr>
                <w:sz w:val="20"/>
                <w:szCs w:val="20"/>
              </w:rPr>
            </w:pPr>
            <w:r>
              <w:rPr>
                <w:rFonts w:ascii="Calibri" w:hAnsi="Calibri" w:eastAsia="Calibri" w:cs="Calibri"/>
                <w:sz w:val="20"/>
                <w:szCs w:val="20"/>
                <w:rtl w:val="0"/>
              </w:rPr>
              <w:t>Self-Exploration: Reviewed White-Box Testing basics (Statement Testing, Branch Testing) and Experience-Based Testing (Error Guessing, Exploratory Testing, Checklist-Based Testing).</w:t>
            </w:r>
          </w:p>
          <w:p w14:paraId="00000019">
            <w:pPr>
              <w:numPr>
                <w:ilvl w:val="0"/>
                <w:numId w:val="1"/>
              </w:numPr>
              <w:spacing w:after="60" w:line="264" w:lineRule="auto"/>
              <w:ind w:left="720" w:hanging="360"/>
              <w:rPr>
                <w:sz w:val="20"/>
                <w:szCs w:val="20"/>
              </w:rPr>
            </w:pPr>
            <w:r>
              <w:rPr>
                <w:rFonts w:ascii="Calibri" w:hAnsi="Calibri" w:eastAsia="Calibri" w:cs="Calibri"/>
                <w:sz w:val="20"/>
                <w:szCs w:val="20"/>
                <w:rtl w:val="0"/>
              </w:rPr>
              <w:t>Practical: Built an EP/BVA table for the phone-number field, an ATM decision table, and a state transition diagram for an order lifecycle.</w:t>
            </w:r>
          </w:p>
          <w:p w14:paraId="0000001A">
            <w:pPr>
              <w:spacing w:before="100" w:after="20" w:line="240" w:lineRule="auto"/>
              <w:rPr>
                <w:sz w:val="20"/>
                <w:szCs w:val="20"/>
              </w:rPr>
            </w:pPr>
            <w:r>
              <w:rPr>
                <w:rFonts w:ascii="Calibri" w:hAnsi="Calibri" w:eastAsia="Calibri" w:cs="Calibri"/>
                <w:b/>
                <w:bCs/>
                <w:sz w:val="20"/>
                <w:szCs w:val="20"/>
                <w:rtl w:val="0"/>
              </w:rPr>
              <w:t>Daily Report Link:</w:t>
            </w:r>
            <w:r>
              <w:rPr>
                <w:sz w:val="20"/>
                <w:szCs w:val="20"/>
                <w:rtl w:val="0"/>
              </w:rPr>
              <w:t xml:space="preserve"> </w:t>
            </w:r>
            <w:r>
              <w:fldChar w:fldCharType="begin"/>
            </w:r>
            <w:r>
              <w:instrText xml:space="preserve"> HYPERLINK "https://chatcloudtechservice-my.sharepoint.com/:w:/g/personal/yudin_cloudtechservice_com/IQDXATK7YwQKQ5cLophB--CDAfBSJfUr8Jx3VFred9n_1J4?e=86d7cy" \h </w:instrText>
            </w:r>
            <w:r>
              <w:fldChar w:fldCharType="separate"/>
            </w:r>
            <w:r>
              <w:rPr>
                <w:color w:val="1155CC"/>
                <w:sz w:val="20"/>
                <w:szCs w:val="20"/>
                <w:u w:val="single"/>
                <w:rtl w:val="0"/>
              </w:rPr>
              <w:t>W2Day2.docx</w:t>
            </w:r>
            <w:r>
              <w:rPr>
                <w:color w:val="1155CC"/>
                <w:sz w:val="20"/>
                <w:szCs w:val="20"/>
                <w:u w:val="single"/>
                <w:rtl w:val="0"/>
              </w:rPr>
              <w:fldChar w:fldCharType="end"/>
            </w:r>
          </w:p>
        </w:tc>
        <w:tc>
          <w:tcPr>
            <w:tcMar>
              <w:top w:w="100" w:type="dxa"/>
              <w:left w:w="100" w:type="dxa"/>
              <w:bottom w:w="100" w:type="dxa"/>
              <w:right w:w="100" w:type="dxa"/>
            </w:tcMar>
            <w:vAlign w:val="top"/>
          </w:tcPr>
          <w:p w14:paraId="0000001B">
            <w:pPr>
              <w:spacing w:line="240" w:lineRule="auto"/>
              <w:rPr>
                <w:rFonts w:hint="default"/>
                <w:sz w:val="20"/>
                <w:szCs w:val="20"/>
                <w:lang w:val="en-US"/>
              </w:rPr>
            </w:pPr>
            <w:r>
              <w:rPr>
                <w:rFonts w:ascii="Calibri" w:hAnsi="Calibri" w:eastAsia="Calibri" w:cs="Calibri"/>
                <w:sz w:val="20"/>
                <w:szCs w:val="20"/>
                <w:rtl w:val="0"/>
              </w:rPr>
              <w:t>8.</w:t>
            </w:r>
            <w:r>
              <w:rPr>
                <w:rFonts w:hint="default" w:ascii="Calibri" w:hAnsi="Calibri" w:eastAsia="Calibri" w:cs="Calibri"/>
                <w:sz w:val="20"/>
                <w:szCs w:val="20"/>
                <w:rtl w:val="0"/>
                <w:lang w:val="en-US"/>
              </w:rPr>
              <w:t>49</w:t>
            </w:r>
          </w:p>
        </w:tc>
        <w:tc>
          <w:tcPr>
            <w:tcMar>
              <w:top w:w="100" w:type="dxa"/>
              <w:left w:w="100" w:type="dxa"/>
              <w:bottom w:w="100" w:type="dxa"/>
              <w:right w:w="100" w:type="dxa"/>
            </w:tcMar>
            <w:vAlign w:val="top"/>
          </w:tcPr>
          <w:p w14:paraId="0000001C">
            <w:pPr>
              <w:spacing w:line="240" w:lineRule="auto"/>
              <w:rPr>
                <w:sz w:val="20"/>
                <w:szCs w:val="20"/>
              </w:rPr>
            </w:pPr>
            <w:r>
              <w:rPr>
                <w:rFonts w:ascii="Calibri" w:hAnsi="Calibri" w:eastAsia="Calibri" w:cs="Calibri"/>
                <w:sz w:val="20"/>
                <w:szCs w:val="20"/>
                <w:rtl w:val="0"/>
              </w:rPr>
              <w:t>Completed</w:t>
            </w:r>
          </w:p>
        </w:tc>
      </w:tr>
      <w:tr w14:paraId="600C8696">
        <w:tc>
          <w:tcPr>
            <w:tcMar>
              <w:top w:w="100" w:type="dxa"/>
              <w:left w:w="100" w:type="dxa"/>
              <w:bottom w:w="100" w:type="dxa"/>
              <w:right w:w="100" w:type="dxa"/>
            </w:tcMar>
            <w:vAlign w:val="top"/>
          </w:tcPr>
          <w:p w14:paraId="0000001D">
            <w:pPr>
              <w:spacing w:line="240" w:lineRule="auto"/>
              <w:rPr>
                <w:sz w:val="20"/>
                <w:szCs w:val="20"/>
              </w:rPr>
            </w:pPr>
            <w:r>
              <w:rPr>
                <w:rFonts w:ascii="Calibri" w:hAnsi="Calibri" w:eastAsia="Calibri" w:cs="Calibri"/>
                <w:b/>
                <w:bCs/>
                <w:sz w:val="20"/>
                <w:szCs w:val="20"/>
                <w:rtl w:val="0"/>
              </w:rPr>
              <w:t>Day 3</w:t>
            </w:r>
          </w:p>
        </w:tc>
        <w:tc>
          <w:tcPr>
            <w:tcMar>
              <w:top w:w="100" w:type="dxa"/>
              <w:left w:w="100" w:type="dxa"/>
              <w:bottom w:w="100" w:type="dxa"/>
              <w:right w:w="100" w:type="dxa"/>
            </w:tcMar>
            <w:vAlign w:val="top"/>
          </w:tcPr>
          <w:p w14:paraId="0000001E">
            <w:pPr>
              <w:numPr>
                <w:ilvl w:val="0"/>
                <w:numId w:val="1"/>
              </w:numPr>
              <w:spacing w:after="60" w:line="264" w:lineRule="auto"/>
              <w:ind w:left="720" w:hanging="360"/>
              <w:rPr>
                <w:sz w:val="20"/>
                <w:szCs w:val="20"/>
              </w:rPr>
            </w:pPr>
            <w:r>
              <w:rPr>
                <w:rFonts w:ascii="Calibri" w:hAnsi="Calibri" w:eastAsia="Calibri" w:cs="Calibri"/>
                <w:sz w:val="20"/>
                <w:szCs w:val="20"/>
                <w:rtl w:val="0"/>
              </w:rPr>
              <w:t>Test Levels: Studied Unit, Integration, System, and Acceptance Testing, illustrated using the DemoQA Book Store Application.</w:t>
            </w:r>
          </w:p>
          <w:p w14:paraId="0000001F">
            <w:pPr>
              <w:numPr>
                <w:ilvl w:val="0"/>
                <w:numId w:val="1"/>
              </w:numPr>
              <w:spacing w:after="60" w:line="264" w:lineRule="auto"/>
              <w:ind w:left="720" w:hanging="360"/>
              <w:rPr>
                <w:sz w:val="20"/>
                <w:szCs w:val="20"/>
              </w:rPr>
            </w:pPr>
            <w:r>
              <w:rPr>
                <w:rFonts w:ascii="Calibri" w:hAnsi="Calibri" w:eastAsia="Calibri" w:cs="Calibri"/>
                <w:sz w:val="20"/>
                <w:szCs w:val="20"/>
                <w:rtl w:val="0"/>
              </w:rPr>
              <w:t>Integration Approaches: Studied Big-Bang and Incremental Integration (Bottom-Up, Top-Down, Hybrid/Sandwich), and the roles of Test Drivers and Test Stubs.</w:t>
            </w:r>
          </w:p>
          <w:p w14:paraId="00000020">
            <w:pPr>
              <w:numPr>
                <w:ilvl w:val="0"/>
                <w:numId w:val="1"/>
              </w:numPr>
              <w:spacing w:after="60" w:line="264" w:lineRule="auto"/>
              <w:ind w:left="720" w:hanging="360"/>
              <w:rPr>
                <w:sz w:val="20"/>
                <w:szCs w:val="20"/>
              </w:rPr>
            </w:pPr>
            <w:r>
              <w:rPr>
                <w:rFonts w:ascii="Calibri" w:hAnsi="Calibri" w:eastAsia="Calibri" w:cs="Calibri"/>
                <w:sz w:val="20"/>
                <w:szCs w:val="20"/>
                <w:rtl w:val="0"/>
              </w:rPr>
              <w:t>White-Box Basics: Studied Statement Coverage and Branch Coverage, each demonstrated with worked pseudocode examples reaching 100% coverage.</w:t>
            </w:r>
          </w:p>
          <w:p w14:paraId="00000021">
            <w:pPr>
              <w:numPr>
                <w:ilvl w:val="0"/>
                <w:numId w:val="1"/>
              </w:numPr>
              <w:spacing w:after="60" w:line="264" w:lineRule="auto"/>
              <w:ind w:left="720" w:hanging="360"/>
              <w:rPr>
                <w:sz w:val="20"/>
                <w:szCs w:val="20"/>
              </w:rPr>
            </w:pPr>
            <w:r>
              <w:rPr>
                <w:rFonts w:ascii="Calibri" w:hAnsi="Calibri" w:eastAsia="Calibri" w:cs="Calibri"/>
                <w:sz w:val="20"/>
                <w:szCs w:val="20"/>
                <w:rtl w:val="0"/>
              </w:rPr>
              <w:t>Test Classification Principle: A test is classified by what it actually verifies (UI/Functional vs. Integration vs. System vs. Acceptance), not by which screens are involved.</w:t>
            </w:r>
          </w:p>
          <w:p w14:paraId="00000022">
            <w:pPr>
              <w:numPr>
                <w:ilvl w:val="0"/>
                <w:numId w:val="1"/>
              </w:numPr>
              <w:spacing w:after="60" w:line="264" w:lineRule="auto"/>
              <w:ind w:left="720" w:hanging="360"/>
              <w:rPr>
                <w:sz w:val="20"/>
                <w:szCs w:val="20"/>
              </w:rPr>
            </w:pPr>
            <w:r>
              <w:rPr>
                <w:rFonts w:ascii="Calibri" w:hAnsi="Calibri" w:eastAsia="Calibri" w:cs="Calibri"/>
                <w:sz w:val="20"/>
                <w:szCs w:val="20"/>
                <w:rtl w:val="0"/>
              </w:rPr>
              <w:t>Practical: Designed testing-level examples and Profile-module test cases for the DemoQA Book Store, completed 10 revision questions on EP/BVA, decision tables, coverage, and integration risk, and reviewed an AI-assisted test-idea activity.</w:t>
            </w:r>
          </w:p>
          <w:p w14:paraId="00000023">
            <w:pPr>
              <w:spacing w:before="100" w:after="20" w:line="240" w:lineRule="auto"/>
              <w:rPr>
                <w:sz w:val="20"/>
                <w:szCs w:val="20"/>
              </w:rPr>
            </w:pPr>
            <w:r>
              <w:rPr>
                <w:rFonts w:ascii="Calibri" w:hAnsi="Calibri" w:eastAsia="Calibri" w:cs="Calibri"/>
                <w:b/>
                <w:bCs/>
                <w:sz w:val="20"/>
                <w:szCs w:val="20"/>
                <w:rtl w:val="0"/>
              </w:rPr>
              <w:t>Daily Report Link:</w:t>
            </w:r>
            <w:r>
              <w:rPr>
                <w:sz w:val="20"/>
                <w:szCs w:val="20"/>
                <w:rtl w:val="0"/>
              </w:rPr>
              <w:t xml:space="preserve"> </w:t>
            </w:r>
            <w:r>
              <w:fldChar w:fldCharType="begin"/>
            </w:r>
            <w:r>
              <w:instrText xml:space="preserve"> HYPERLINK "https://chatcloudtechservice-my.sharepoint.com/:w:/g/personal/yudin_cloudtechservice_com/IQBeQYUjBA6ZQ4_VsFmkessHAUBHGrBOx0GgfRU9UMpKSXw?e=hftJGD" \h </w:instrText>
            </w:r>
            <w:r>
              <w:fldChar w:fldCharType="separate"/>
            </w:r>
            <w:r>
              <w:rPr>
                <w:color w:val="1155CC"/>
                <w:sz w:val="20"/>
                <w:szCs w:val="20"/>
                <w:u w:val="single"/>
                <w:rtl w:val="0"/>
              </w:rPr>
              <w:t>W2Day3.docx</w:t>
            </w:r>
            <w:r>
              <w:rPr>
                <w:color w:val="1155CC"/>
                <w:sz w:val="20"/>
                <w:szCs w:val="20"/>
                <w:u w:val="single"/>
                <w:rtl w:val="0"/>
              </w:rPr>
              <w:fldChar w:fldCharType="end"/>
            </w:r>
          </w:p>
        </w:tc>
        <w:tc>
          <w:tcPr>
            <w:tcMar>
              <w:top w:w="100" w:type="dxa"/>
              <w:left w:w="100" w:type="dxa"/>
              <w:bottom w:w="100" w:type="dxa"/>
              <w:right w:w="100" w:type="dxa"/>
            </w:tcMar>
            <w:vAlign w:val="top"/>
          </w:tcPr>
          <w:p w14:paraId="00000024">
            <w:pPr>
              <w:spacing w:line="240" w:lineRule="auto"/>
              <w:rPr>
                <w:rFonts w:hint="default"/>
                <w:sz w:val="20"/>
                <w:szCs w:val="20"/>
                <w:lang w:val="en-US"/>
              </w:rPr>
            </w:pPr>
            <w:r>
              <w:rPr>
                <w:rFonts w:ascii="Calibri" w:hAnsi="Calibri" w:eastAsia="Calibri" w:cs="Calibri"/>
                <w:sz w:val="20"/>
                <w:szCs w:val="20"/>
                <w:rtl w:val="0"/>
              </w:rPr>
              <w:t>8.</w:t>
            </w:r>
            <w:r>
              <w:rPr>
                <w:rFonts w:hint="default" w:ascii="Calibri" w:hAnsi="Calibri" w:eastAsia="Calibri" w:cs="Calibri"/>
                <w:sz w:val="20"/>
                <w:szCs w:val="20"/>
                <w:rtl w:val="0"/>
                <w:lang w:val="en-US"/>
              </w:rPr>
              <w:t>69</w:t>
            </w:r>
          </w:p>
        </w:tc>
        <w:tc>
          <w:tcPr>
            <w:tcMar>
              <w:top w:w="100" w:type="dxa"/>
              <w:left w:w="100" w:type="dxa"/>
              <w:bottom w:w="100" w:type="dxa"/>
              <w:right w:w="100" w:type="dxa"/>
            </w:tcMar>
            <w:vAlign w:val="top"/>
          </w:tcPr>
          <w:p w14:paraId="00000025">
            <w:pPr>
              <w:spacing w:line="240" w:lineRule="auto"/>
              <w:rPr>
                <w:sz w:val="20"/>
                <w:szCs w:val="20"/>
              </w:rPr>
            </w:pPr>
            <w:r>
              <w:rPr>
                <w:rFonts w:ascii="Calibri" w:hAnsi="Calibri" w:eastAsia="Calibri" w:cs="Calibri"/>
                <w:sz w:val="20"/>
                <w:szCs w:val="20"/>
                <w:rtl w:val="0"/>
              </w:rPr>
              <w:t>Completed</w:t>
            </w:r>
          </w:p>
        </w:tc>
      </w:tr>
      <w:tr w14:paraId="16223019">
        <w:tc>
          <w:tcPr>
            <w:tcMar>
              <w:top w:w="100" w:type="dxa"/>
              <w:left w:w="100" w:type="dxa"/>
              <w:bottom w:w="100" w:type="dxa"/>
              <w:right w:w="100" w:type="dxa"/>
            </w:tcMar>
            <w:vAlign w:val="top"/>
          </w:tcPr>
          <w:p w14:paraId="00000026">
            <w:pPr>
              <w:spacing w:line="240" w:lineRule="auto"/>
              <w:rPr>
                <w:sz w:val="20"/>
                <w:szCs w:val="20"/>
              </w:rPr>
            </w:pPr>
            <w:r>
              <w:rPr>
                <w:rFonts w:ascii="Calibri" w:hAnsi="Calibri" w:eastAsia="Calibri" w:cs="Calibri"/>
                <w:b/>
                <w:bCs/>
                <w:sz w:val="20"/>
                <w:szCs w:val="20"/>
                <w:rtl w:val="0"/>
              </w:rPr>
              <w:t>Day 4</w:t>
            </w:r>
          </w:p>
        </w:tc>
        <w:tc>
          <w:tcPr>
            <w:tcMar>
              <w:top w:w="100" w:type="dxa"/>
              <w:left w:w="100" w:type="dxa"/>
              <w:bottom w:w="100" w:type="dxa"/>
              <w:right w:w="100" w:type="dxa"/>
            </w:tcMar>
            <w:vAlign w:val="top"/>
          </w:tcPr>
          <w:p w14:paraId="00000027">
            <w:pPr>
              <w:numPr>
                <w:ilvl w:val="0"/>
                <w:numId w:val="1"/>
              </w:numPr>
              <w:spacing w:after="60" w:line="264" w:lineRule="auto"/>
              <w:ind w:left="720" w:hanging="360"/>
              <w:rPr>
                <w:sz w:val="20"/>
                <w:szCs w:val="20"/>
              </w:rPr>
            </w:pPr>
            <w:r>
              <w:rPr>
                <w:rFonts w:ascii="Calibri" w:hAnsi="Calibri" w:eastAsia="Calibri" w:cs="Calibri"/>
                <w:sz w:val="20"/>
                <w:szCs w:val="20"/>
                <w:rtl w:val="0"/>
              </w:rPr>
              <w:t>Regression Testing: Studied the regression workflow and regression scopes (full vs. partial/targeted, corrective, progressive, selective, unit).</w:t>
            </w:r>
          </w:p>
          <w:p w14:paraId="00000028">
            <w:pPr>
              <w:numPr>
                <w:ilvl w:val="0"/>
                <w:numId w:val="1"/>
              </w:numPr>
              <w:spacing w:after="60" w:line="264" w:lineRule="auto"/>
              <w:ind w:left="720" w:hanging="360"/>
              <w:rPr>
                <w:sz w:val="20"/>
                <w:szCs w:val="20"/>
              </w:rPr>
            </w:pPr>
            <w:r>
              <w:rPr>
                <w:rFonts w:ascii="Calibri" w:hAnsi="Calibri" w:eastAsia="Calibri" w:cs="Calibri"/>
                <w:sz w:val="20"/>
                <w:szCs w:val="20"/>
                <w:rtl w:val="0"/>
              </w:rPr>
              <w:t>Smoke vs. Sanity vs. Regression: Distinguished by their guiding questions — build stability, specific fix correctness, and impact of change on existing functionality.</w:t>
            </w:r>
          </w:p>
          <w:p w14:paraId="00000029">
            <w:pPr>
              <w:numPr>
                <w:ilvl w:val="0"/>
                <w:numId w:val="1"/>
              </w:numPr>
              <w:spacing w:after="60" w:line="264" w:lineRule="auto"/>
              <w:ind w:left="720" w:hanging="360"/>
              <w:rPr>
                <w:sz w:val="20"/>
                <w:szCs w:val="20"/>
              </w:rPr>
            </w:pPr>
            <w:r>
              <w:rPr>
                <w:rFonts w:ascii="Calibri" w:hAnsi="Calibri" w:eastAsia="Calibri" w:cs="Calibri"/>
                <w:sz w:val="20"/>
                <w:szCs w:val="20"/>
                <w:rtl w:val="0"/>
              </w:rPr>
              <w:t>End-to-End (E2E) Testing: Studied testing a complete user journey, applied to a DemoQA Book Store scenario spanning UI and API activity with a documented (not directly executed) database verification point.</w:t>
            </w:r>
          </w:p>
          <w:p w14:paraId="0000002A">
            <w:pPr>
              <w:numPr>
                <w:ilvl w:val="0"/>
                <w:numId w:val="1"/>
              </w:numPr>
              <w:spacing w:after="60" w:line="264" w:lineRule="auto"/>
              <w:ind w:left="720" w:hanging="360"/>
              <w:rPr>
                <w:sz w:val="20"/>
                <w:szCs w:val="20"/>
              </w:rPr>
            </w:pPr>
            <w:r>
              <w:rPr>
                <w:rFonts w:ascii="Calibri" w:hAnsi="Calibri" w:eastAsia="Calibri" w:cs="Calibri"/>
                <w:sz w:val="20"/>
                <w:szCs w:val="20"/>
                <w:rtl w:val="0"/>
              </w:rPr>
              <w:t>Experience-Based Techniques: Studied Error Guessing, Exploratory Testing (using a testing charter), and Checklist-Based Testing.</w:t>
            </w:r>
          </w:p>
          <w:p w14:paraId="0000002B">
            <w:pPr>
              <w:numPr>
                <w:ilvl w:val="0"/>
                <w:numId w:val="1"/>
              </w:numPr>
              <w:spacing w:after="60" w:line="264" w:lineRule="auto"/>
              <w:ind w:left="720" w:hanging="360"/>
              <w:rPr>
                <w:sz w:val="20"/>
                <w:szCs w:val="20"/>
              </w:rPr>
            </w:pPr>
            <w:r>
              <w:rPr>
                <w:rFonts w:ascii="Calibri" w:hAnsi="Calibri" w:eastAsia="Calibri" w:cs="Calibri"/>
                <w:sz w:val="20"/>
                <w:szCs w:val="20"/>
                <w:rtl w:val="0"/>
              </w:rPr>
              <w:t>Practical: Built a Profile-module regression checklist based on change impact and dependency, designed and walked through a DemoQA Book Store E2E scenario, performed an exploratory testing session, completed a regression risk-mapping exercise, and reviewed AI-assisted testing suggestions for ParaBank.</w:t>
            </w:r>
          </w:p>
          <w:p w14:paraId="0000002C">
            <w:pPr>
              <w:spacing w:before="100" w:after="20" w:line="240" w:lineRule="auto"/>
              <w:rPr>
                <w:sz w:val="20"/>
                <w:szCs w:val="20"/>
              </w:rPr>
            </w:pPr>
            <w:r>
              <w:rPr>
                <w:rFonts w:ascii="Calibri" w:hAnsi="Calibri" w:eastAsia="Calibri" w:cs="Calibri"/>
                <w:b/>
                <w:bCs/>
                <w:sz w:val="20"/>
                <w:szCs w:val="20"/>
                <w:rtl w:val="0"/>
              </w:rPr>
              <w:t>Daily Report Link:</w:t>
            </w:r>
            <w:r>
              <w:rPr>
                <w:sz w:val="20"/>
                <w:szCs w:val="20"/>
                <w:rtl w:val="0"/>
              </w:rPr>
              <w:t xml:space="preserve"> </w:t>
            </w:r>
            <w:r>
              <w:fldChar w:fldCharType="begin"/>
            </w:r>
            <w:r>
              <w:instrText xml:space="preserve"> HYPERLINK "https://chatcloudtechservice-my.sharepoint.com/:w:/g/personal/yudin_cloudtechservice_com/IQAeiQmEmQH2Q6txk_LmdA3WAeMSLnBlVIL0u5hIsSFQzLM?e=SkcMtY" \h </w:instrText>
            </w:r>
            <w:r>
              <w:fldChar w:fldCharType="separate"/>
            </w:r>
            <w:r>
              <w:rPr>
                <w:color w:val="1155CC"/>
                <w:sz w:val="20"/>
                <w:szCs w:val="20"/>
                <w:u w:val="single"/>
                <w:rtl w:val="0"/>
              </w:rPr>
              <w:t>W2Day4.docx</w:t>
            </w:r>
            <w:r>
              <w:rPr>
                <w:color w:val="1155CC"/>
                <w:sz w:val="20"/>
                <w:szCs w:val="20"/>
                <w:u w:val="single"/>
                <w:rtl w:val="0"/>
              </w:rPr>
              <w:fldChar w:fldCharType="end"/>
            </w:r>
          </w:p>
        </w:tc>
        <w:tc>
          <w:tcPr>
            <w:tcMar>
              <w:top w:w="100" w:type="dxa"/>
              <w:left w:w="100" w:type="dxa"/>
              <w:bottom w:w="100" w:type="dxa"/>
              <w:right w:w="100" w:type="dxa"/>
            </w:tcMar>
            <w:vAlign w:val="top"/>
          </w:tcPr>
          <w:p w14:paraId="0000002D">
            <w:pPr>
              <w:spacing w:line="240" w:lineRule="auto"/>
              <w:rPr>
                <w:rFonts w:hint="default"/>
                <w:sz w:val="20"/>
                <w:szCs w:val="20"/>
                <w:lang w:val="en-US"/>
              </w:rPr>
            </w:pPr>
            <w:r>
              <w:rPr>
                <w:rFonts w:ascii="Calibri" w:hAnsi="Calibri" w:eastAsia="Calibri" w:cs="Calibri"/>
                <w:sz w:val="20"/>
                <w:szCs w:val="20"/>
                <w:rtl w:val="0"/>
              </w:rPr>
              <w:t>8.</w:t>
            </w:r>
            <w:r>
              <w:rPr>
                <w:rFonts w:hint="default" w:ascii="Calibri" w:hAnsi="Calibri" w:eastAsia="Calibri" w:cs="Calibri"/>
                <w:sz w:val="20"/>
                <w:szCs w:val="20"/>
                <w:rtl w:val="0"/>
                <w:lang w:val="en-US"/>
              </w:rPr>
              <w:t>64</w:t>
            </w:r>
          </w:p>
        </w:tc>
        <w:tc>
          <w:tcPr>
            <w:tcMar>
              <w:top w:w="100" w:type="dxa"/>
              <w:left w:w="100" w:type="dxa"/>
              <w:bottom w:w="100" w:type="dxa"/>
              <w:right w:w="100" w:type="dxa"/>
            </w:tcMar>
            <w:vAlign w:val="top"/>
          </w:tcPr>
          <w:p w14:paraId="0000002E">
            <w:pPr>
              <w:spacing w:line="240" w:lineRule="auto"/>
              <w:rPr>
                <w:sz w:val="20"/>
                <w:szCs w:val="20"/>
              </w:rPr>
            </w:pPr>
            <w:r>
              <w:rPr>
                <w:rFonts w:ascii="Calibri" w:hAnsi="Calibri" w:eastAsia="Calibri" w:cs="Calibri"/>
                <w:sz w:val="20"/>
                <w:szCs w:val="20"/>
                <w:rtl w:val="0"/>
              </w:rPr>
              <w:t>Completed</w:t>
            </w:r>
          </w:p>
        </w:tc>
      </w:tr>
      <w:tr w14:paraId="04038385">
        <w:tc>
          <w:tcPr>
            <w:tcMar>
              <w:top w:w="100" w:type="dxa"/>
              <w:left w:w="100" w:type="dxa"/>
              <w:bottom w:w="100" w:type="dxa"/>
              <w:right w:w="100" w:type="dxa"/>
            </w:tcMar>
            <w:vAlign w:val="top"/>
          </w:tcPr>
          <w:p w14:paraId="0000002F">
            <w:pPr>
              <w:spacing w:line="240" w:lineRule="auto"/>
              <w:rPr>
                <w:sz w:val="20"/>
                <w:szCs w:val="20"/>
              </w:rPr>
            </w:pPr>
            <w:r>
              <w:rPr>
                <w:rFonts w:ascii="Calibri" w:hAnsi="Calibri" w:eastAsia="Calibri" w:cs="Calibri"/>
                <w:b/>
                <w:bCs/>
                <w:sz w:val="20"/>
                <w:szCs w:val="20"/>
                <w:rtl w:val="0"/>
              </w:rPr>
              <w:t>Day 5</w:t>
            </w:r>
          </w:p>
        </w:tc>
        <w:tc>
          <w:tcPr>
            <w:tcMar>
              <w:top w:w="100" w:type="dxa"/>
              <w:left w:w="100" w:type="dxa"/>
              <w:bottom w:w="100" w:type="dxa"/>
              <w:right w:w="100" w:type="dxa"/>
            </w:tcMar>
            <w:vAlign w:val="top"/>
          </w:tcPr>
          <w:p w14:paraId="00000030">
            <w:pPr>
              <w:numPr>
                <w:ilvl w:val="0"/>
                <w:numId w:val="1"/>
              </w:numPr>
              <w:spacing w:after="60" w:line="264" w:lineRule="auto"/>
              <w:ind w:left="720" w:hanging="360"/>
              <w:rPr>
                <w:sz w:val="20"/>
                <w:szCs w:val="20"/>
              </w:rPr>
            </w:pPr>
            <w:r>
              <w:rPr>
                <w:rFonts w:ascii="Calibri" w:hAnsi="Calibri" w:eastAsia="Calibri" w:cs="Calibri"/>
                <w:sz w:val="20"/>
                <w:szCs w:val="20"/>
                <w:rtl w:val="0"/>
              </w:rPr>
              <w:t>Week 2 Revision: Revised Test Case Design, Black-Box Test Techniques, Testing Levels &amp; White-Box Basics, and Test Types &amp; Experience-Based Techniques.</w:t>
            </w:r>
          </w:p>
          <w:p w14:paraId="00000031">
            <w:pPr>
              <w:numPr>
                <w:ilvl w:val="0"/>
                <w:numId w:val="1"/>
              </w:numPr>
              <w:spacing w:after="60" w:line="264" w:lineRule="auto"/>
              <w:ind w:left="720" w:hanging="360"/>
              <w:rPr>
                <w:sz w:val="20"/>
                <w:szCs w:val="20"/>
              </w:rPr>
            </w:pPr>
            <w:r>
              <w:rPr>
                <w:rFonts w:ascii="Calibri" w:hAnsi="Calibri" w:eastAsia="Calibri" w:cs="Calibri"/>
                <w:sz w:val="20"/>
                <w:szCs w:val="20"/>
                <w:rtl w:val="0"/>
              </w:rPr>
              <w:t>Weekly Test: Completed a test covering Week 2 topics. Specific test content and result were not provided and are Not Evidenced.</w:t>
            </w:r>
          </w:p>
          <w:p w14:paraId="00000032">
            <w:pPr>
              <w:numPr>
                <w:ilvl w:val="0"/>
                <w:numId w:val="1"/>
              </w:numPr>
              <w:spacing w:after="60" w:line="264" w:lineRule="auto"/>
              <w:ind w:left="720" w:hanging="360"/>
              <w:rPr>
                <w:sz w:val="20"/>
                <w:szCs w:val="20"/>
              </w:rPr>
            </w:pPr>
            <w:r>
              <w:rPr>
                <w:rFonts w:ascii="Calibri" w:hAnsi="Calibri" w:eastAsia="Calibri" w:cs="Calibri"/>
                <w:sz w:val="20"/>
                <w:szCs w:val="20"/>
                <w:rtl w:val="0"/>
              </w:rPr>
              <w:t>Presentation: Delivered a presentation summarizing the week's learning. Specific presentation content was not provided and is Not Evidenced.</w:t>
            </w:r>
          </w:p>
          <w:p w14:paraId="00000033">
            <w:pPr>
              <w:spacing w:before="100" w:after="20" w:line="240" w:lineRule="auto"/>
              <w:rPr>
                <w:sz w:val="20"/>
                <w:szCs w:val="20"/>
              </w:rPr>
            </w:pPr>
            <w:r>
              <w:rPr>
                <w:rFonts w:ascii="Calibri" w:hAnsi="Calibri" w:eastAsia="Calibri" w:cs="Calibri"/>
                <w:b/>
                <w:bCs/>
                <w:sz w:val="20"/>
                <w:szCs w:val="20"/>
                <w:rtl w:val="0"/>
              </w:rPr>
              <w:t xml:space="preserve">Daily Report Link: </w:t>
            </w:r>
            <w:r>
              <w:fldChar w:fldCharType="begin"/>
            </w:r>
            <w:r>
              <w:instrText xml:space="preserve"> HYPERLINK "https://docs.google.com/document/u/0/d/1haiszbZ3OmmyPfIofXUgIqUn36sDyYk_MAxM7xB8VX0/edit" \h </w:instrText>
            </w:r>
            <w:r>
              <w:fldChar w:fldCharType="separate"/>
            </w:r>
            <w:r>
              <w:rPr>
                <w:color w:val="1155CC"/>
                <w:sz w:val="20"/>
                <w:szCs w:val="20"/>
                <w:u w:val="single"/>
                <w:rtl w:val="0"/>
              </w:rPr>
              <w:t>W2Day5.docx</w:t>
            </w:r>
            <w:r>
              <w:rPr>
                <w:color w:val="1155CC"/>
                <w:sz w:val="20"/>
                <w:szCs w:val="20"/>
                <w:u w:val="single"/>
                <w:rtl w:val="0"/>
              </w:rPr>
              <w:fldChar w:fldCharType="end"/>
            </w:r>
          </w:p>
        </w:tc>
        <w:tc>
          <w:tcPr>
            <w:tcMar>
              <w:top w:w="100" w:type="dxa"/>
              <w:left w:w="100" w:type="dxa"/>
              <w:bottom w:w="100" w:type="dxa"/>
              <w:right w:w="100" w:type="dxa"/>
            </w:tcMar>
            <w:vAlign w:val="top"/>
          </w:tcPr>
          <w:p w14:paraId="00000034">
            <w:pPr>
              <w:spacing w:line="240" w:lineRule="auto"/>
              <w:rPr>
                <w:rFonts w:hint="default"/>
                <w:sz w:val="20"/>
                <w:szCs w:val="20"/>
                <w:lang w:val="en-US"/>
              </w:rPr>
            </w:pPr>
            <w:r>
              <w:rPr>
                <w:rFonts w:hint="default"/>
                <w:sz w:val="20"/>
                <w:szCs w:val="20"/>
                <w:lang w:val="en-US"/>
              </w:rPr>
              <w:t>-</w:t>
            </w:r>
            <w:bookmarkStart w:id="0" w:name="_GoBack"/>
            <w:bookmarkEnd w:id="0"/>
          </w:p>
        </w:tc>
        <w:tc>
          <w:tcPr>
            <w:tcMar>
              <w:top w:w="100" w:type="dxa"/>
              <w:left w:w="100" w:type="dxa"/>
              <w:bottom w:w="100" w:type="dxa"/>
              <w:right w:w="100" w:type="dxa"/>
            </w:tcMar>
            <w:vAlign w:val="top"/>
          </w:tcPr>
          <w:p w14:paraId="00000035">
            <w:pPr>
              <w:spacing w:line="240" w:lineRule="auto"/>
              <w:rPr>
                <w:sz w:val="20"/>
                <w:szCs w:val="20"/>
              </w:rPr>
            </w:pPr>
            <w:r>
              <w:rPr>
                <w:rFonts w:ascii="Calibri" w:hAnsi="Calibri" w:eastAsia="Calibri" w:cs="Calibri"/>
                <w:sz w:val="20"/>
                <w:szCs w:val="20"/>
                <w:rtl w:val="0"/>
              </w:rPr>
              <w:t>Completed</w:t>
            </w:r>
          </w:p>
        </w:tc>
      </w:tr>
    </w:tbl>
    <w:p w14:paraId="00000036">
      <w:pPr>
        <w:spacing w:after="160" w:line="276" w:lineRule="auto"/>
        <w:rPr>
          <w:sz w:val="20"/>
          <w:szCs w:val="20"/>
        </w:rPr>
      </w:pPr>
    </w:p>
    <w:p w14:paraId="00000037">
      <w:pPr>
        <w:pStyle w:val="2"/>
        <w:keepNext w:val="0"/>
        <w:keepLines w:val="0"/>
        <w:spacing w:before="300" w:after="150" w:line="240" w:lineRule="auto"/>
        <w:rPr>
          <w:b w:val="0"/>
          <w:bCs w:val="0"/>
          <w:color w:val="2E74B5"/>
          <w:sz w:val="32"/>
          <w:szCs w:val="32"/>
        </w:rPr>
      </w:pPr>
      <w:r>
        <w:rPr>
          <w:rFonts w:ascii="Calibri" w:hAnsi="Calibri" w:eastAsia="Calibri" w:cs="Calibri"/>
          <w:color w:val="2E74B5"/>
          <w:sz w:val="26"/>
          <w:szCs w:val="26"/>
          <w:rtl w:val="0"/>
        </w:rPr>
        <w:t>Outcomes:</w:t>
      </w:r>
    </w:p>
    <w:p w14:paraId="00000038">
      <w:pPr>
        <w:spacing w:after="160" w:line="276" w:lineRule="auto"/>
        <w:rPr>
          <w:sz w:val="20"/>
          <w:szCs w:val="20"/>
        </w:rPr>
      </w:pPr>
      <w:r>
        <w:rPr>
          <w:rFonts w:ascii="Calibri" w:hAnsi="Calibri" w:eastAsia="Calibri" w:cs="Calibri"/>
          <w:sz w:val="22"/>
          <w:szCs w:val="22"/>
          <w:rtl w:val="0"/>
        </w:rPr>
        <w:t>During Week 2, the internship moved from manual testing fundamentals into concrete test-design techniques and their practical application. The week began with test case design, covering test case structure, positive and negative cases, prioritisation (risk-, coverage-, and requirement-based), coverage, requirement traceability, STLC, and the bug life cycle, applied through structured test cases for the Aaravya Clothing/Benefit Store website. This was followed by black-box test techniques — Equivalence Partitioning, Boundary Value Analysis, Decision Table Testing, and State Transition Testing — applied to a phone-number field, an ATM cash-dispensing scenario, and an order lifecycle, alongside self-exploration of White-Box and Experience-Based Testing. The week then covered testing levels (Unit, Integration, System, Acceptance) and integration approaches (Big-Bang, Bottom-Up, Top-Down, Hybrid/Sandwich), together with White-Box fundamentals of Statement and Branch Coverage, demonstrated using the DemoQA Book Store Application and its Profile module. This progressed into test types and experience-based techniques — Regression, Smoke, Sanity, and End-to-End Testing, along with Error Guessing, Exploratory Testing, and Checklist-Based Testing — applied through a Profile-module regression checklist and a DemoQA Book Store End-to-End scenario. The week concluded with a revision of all four days, a weekly test, and a presentation summarizing the week's learning.</w:t>
      </w:r>
    </w:p>
    <w:p w14:paraId="00000039">
      <w:pPr>
        <w:pStyle w:val="2"/>
        <w:keepNext w:val="0"/>
        <w:keepLines w:val="0"/>
        <w:spacing w:before="300" w:after="150" w:line="240" w:lineRule="auto"/>
        <w:rPr>
          <w:b w:val="0"/>
          <w:bCs w:val="0"/>
          <w:color w:val="2E74B5"/>
          <w:sz w:val="32"/>
          <w:szCs w:val="32"/>
        </w:rPr>
      </w:pPr>
      <w:r>
        <w:rPr>
          <w:rFonts w:ascii="Calibri" w:hAnsi="Calibri" w:eastAsia="Calibri" w:cs="Calibri"/>
          <w:color w:val="2E74B5"/>
          <w:sz w:val="26"/>
          <w:szCs w:val="26"/>
          <w:rtl w:val="0"/>
        </w:rPr>
        <w:t>Conclusions:</w:t>
      </w:r>
    </w:p>
    <w:p w14:paraId="0000003A">
      <w:pPr>
        <w:spacing w:after="160" w:line="276" w:lineRule="auto"/>
      </w:pPr>
      <w:r>
        <w:rPr>
          <w:rFonts w:ascii="Calibri" w:hAnsi="Calibri" w:eastAsia="Calibri" w:cs="Calibri"/>
          <w:sz w:val="22"/>
          <w:szCs w:val="22"/>
          <w:rtl w:val="0"/>
        </w:rPr>
        <w:t>Week 2 built directly on the manual testing foundation established in Week 1, translating conceptual knowledge of testing principles and test planning into concrete, applied test-design skills. The progression from test case structure and prioritisation, through black-box design techniques, testing levels, and White-Box coverage fundamentals, to test types and experience-based techniques gave a practical, end-to-end view of how tests are designed, scoped, and classified. The consistent use of the DemoQA Book Store Application and other applications as running examples reinforced how the same feature can be tested at different levels and with different techniques depending on the testing objective. The closing revision, weekly test, and presentation consolidated the week's learning and prepared the foundation for more advanced testing topics in the coming weeks.</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B1607AB8-40B5-E49E-7071-A76A8236600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BD8467"/>
    <w:multiLevelType w:val="multilevel"/>
    <w:tmpl w:val="76BD84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7DFFF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sz w:val="24"/>
      <w:szCs w:val="24"/>
      <w:lang w:val="en"/>
    </w:rPr>
  </w:style>
  <w:style w:type="paragraph" w:styleId="2">
    <w:name w:val="heading 1"/>
    <w:basedOn w:val="1"/>
    <w:next w:val="1"/>
    <w:uiPriority w:val="0"/>
    <w:pPr>
      <w:keepNext/>
      <w:keepLines/>
    </w:pPr>
    <w:rPr>
      <w:b/>
      <w:bCs/>
      <w:sz w:val="28"/>
      <w:szCs w:val="28"/>
    </w:rPr>
  </w:style>
  <w:style w:type="paragraph" w:styleId="3">
    <w:name w:val="heading 2"/>
    <w:basedOn w:val="1"/>
    <w:next w:val="1"/>
    <w:uiPriority w:val="0"/>
    <w:pPr>
      <w:keepNext/>
      <w:keepLines/>
    </w:pPr>
    <w:rPr>
      <w:b/>
      <w:bCs/>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2026-09-14T09:45:17Z</dcterms:created>
  <dc:creator>Data</dc:creator>
  <cp:lastModifiedBy>apple</cp:lastModifiedBy>
  <dcterms:modified xsi:type="dcterms:W3CDTF">2026-09-14T09:45:48Z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273AB2636AD88CB17071A76A0E81C842_42</vt:lpwstr>
  </property>
</Properties>
</file>