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sz w:val="28"/>
          <w:szCs w:val="28"/>
        </w:rPr>
        <w:t xml:space="preserve">Internship Weekly Report</w:t>
      </w:r>
    </w:p>
    <w:p>
      <w:pPr>
        <w:spacing w:after="20"/>
      </w:pPr>
      <w:r>
        <w:rPr>
          <w:rFonts w:ascii="Calibri" w:cs="Calibri" w:eastAsia="Calibri" w:hAnsi="Calibri"/>
          <w:sz w:val="22"/>
          <w:szCs w:val="22"/>
        </w:rPr>
        <w:t xml:space="preserve">Shekhar Singh Rawal</w:t>
      </w:r>
    </w:p>
    <w:p>
      <w:pPr>
        <w:spacing w:after="260"/>
      </w:pPr>
      <w:r>
        <w:rPr>
          <w:rFonts w:ascii="Calibri" w:cs="Calibri" w:eastAsia="Calibri" w:hAnsi="Calibri"/>
          <w:sz w:val="22"/>
          <w:szCs w:val="22"/>
        </w:rPr>
        <w:t xml:space="preserve">September 30, 2026 to October 5, 2026 (Week 5)</w:t>
      </w:r>
    </w:p>
    <w:p>
      <w:pPr>
        <w:spacing w:after="160" w:line="276"/>
      </w:pPr>
      <w:r>
        <w:rPr>
          <w:rFonts w:ascii="Calibri" w:cs="Calibri" w:eastAsia="Calibri" w:hAnsi="Calibri"/>
          <w:b/>
          <w:bCs/>
          <w:sz w:val="22"/>
          <w:szCs w:val="22"/>
        </w:rPr>
        <w:t xml:space="preserve">Assignments and Status: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50"/>
        <w:gridCol w:w="6300"/>
        <w:gridCol w:w="1000"/>
        <w:gridCol w:w="1390"/>
      </w:tblGrid>
      <w:tr>
        <w:trPr>
          <w:tblHeader/>
        </w:trPr>
        <w:tc>
          <w:tcPr>
            <w:tcW w:type="dxa" w:w="950"/>
            <w:shd w:fill="D9D9D9" w:val="clear"/>
            <w:tcMar>
              <w:top w:type="dxa" w:w="80"/>
              <w:left w:type="dxa" w:w="100"/>
              <w:bottom w:type="dxa" w:w="80"/>
              <w:right w:type="dxa" w:w="100"/>
            </w:tcMar>
            <w:vAlign w:val="center"/>
          </w:tcPr>
          <w:p>
            <w:r>
              <w:rPr>
                <w:rFonts w:ascii="Calibri" w:cs="Calibri" w:eastAsia="Calibri" w:hAnsi="Calibri"/>
                <w:b/>
                <w:bCs/>
                <w:sz w:val="20"/>
                <w:szCs w:val="20"/>
              </w:rPr>
              <w:t xml:space="preserve">Date</w:t>
            </w:r>
          </w:p>
        </w:tc>
        <w:tc>
          <w:tcPr>
            <w:tcW w:type="dxa" w:w="6300"/>
            <w:shd w:fill="D9D9D9" w:val="clear"/>
            <w:tcMar>
              <w:top w:type="dxa" w:w="80"/>
              <w:left w:type="dxa" w:w="100"/>
              <w:bottom w:type="dxa" w:w="80"/>
              <w:right w:type="dxa" w:w="100"/>
            </w:tcMar>
            <w:vAlign w:val="center"/>
          </w:tcPr>
          <w:p>
            <w:r>
              <w:rPr>
                <w:rFonts w:ascii="Calibri" w:cs="Calibri" w:eastAsia="Calibri" w:hAnsi="Calibri"/>
                <w:b/>
                <w:bCs/>
                <w:sz w:val="20"/>
                <w:szCs w:val="20"/>
              </w:rPr>
              <w:t xml:space="preserve">Major Assignments</w:t>
            </w:r>
          </w:p>
        </w:tc>
        <w:tc>
          <w:tcPr>
            <w:tcW w:type="dxa" w:w="1000"/>
            <w:shd w:fill="D9D9D9" w:val="clear"/>
            <w:tcMar>
              <w:top w:type="dxa" w:w="80"/>
              <w:left w:type="dxa" w:w="100"/>
              <w:bottom w:type="dxa" w:w="80"/>
              <w:right w:type="dxa" w:w="100"/>
            </w:tcMar>
            <w:vAlign w:val="center"/>
          </w:tcPr>
          <w:p>
            <w:r>
              <w:rPr>
                <w:rFonts w:ascii="Calibri" w:cs="Calibri" w:eastAsia="Calibri" w:hAnsi="Calibri"/>
                <w:b/>
                <w:bCs/>
                <w:sz w:val="20"/>
                <w:szCs w:val="20"/>
              </w:rPr>
              <w:t xml:space="preserve">Log Hour</w:t>
            </w:r>
          </w:p>
        </w:tc>
        <w:tc>
          <w:tcPr>
            <w:tcW w:type="dxa" w:w="1390"/>
            <w:shd w:fill="D9D9D9" w:val="clear"/>
            <w:tcMar>
              <w:top w:type="dxa" w:w="80"/>
              <w:left w:type="dxa" w:w="100"/>
              <w:bottom w:type="dxa" w:w="80"/>
              <w:right w:type="dxa" w:w="100"/>
            </w:tcMar>
            <w:vAlign w:val="center"/>
          </w:tcPr>
          <w:p>
            <w:r>
              <w:rPr>
                <w:rFonts w:ascii="Calibri" w:cs="Calibri" w:eastAsia="Calibri" w:hAnsi="Calibri"/>
                <w:b/>
                <w:bCs/>
                <w:sz w:val="20"/>
                <w:szCs w:val="20"/>
              </w:rPr>
              <w:t xml:space="preserve">Status</w:t>
            </w:r>
          </w:p>
        </w:tc>
      </w:tr>
      <w:tr>
        <w:tc>
          <w:tcPr>
            <w:tcW w:type="dxa" w:w="950"/>
            <w:tcMar>
              <w:top w:type="dxa" w:w="100"/>
              <w:left w:type="dxa" w:w="100"/>
              <w:bottom w:type="dxa" w:w="100"/>
              <w:right w:type="dxa" w:w="100"/>
            </w:tcMar>
            <w:vAlign w:val="top"/>
          </w:tcPr>
          <w:p>
            <w:r>
              <w:rPr>
                <w:rFonts w:ascii="Calibri" w:cs="Calibri" w:eastAsia="Calibri" w:hAnsi="Calibri"/>
                <w:b/>
                <w:bCs/>
                <w:sz w:val="20"/>
                <w:szCs w:val="20"/>
              </w:rPr>
              <w:t xml:space="preserve">Day 1
(Sep 30, 2026)</w:t>
            </w:r>
          </w:p>
        </w:tc>
        <w:tc>
          <w:tcPr>
            <w:tcW w:type="dxa" w:w="6300"/>
            <w:tcMar>
              <w:top w:type="dxa" w:w="100"/>
              <w:left w:type="dxa" w:w="100"/>
              <w:bottom w:type="dxa" w:w="100"/>
              <w:right w:type="dxa" w:w="100"/>
            </w:tcMar>
            <w:vAlign w:val="top"/>
          </w:tcPr>
          <w:p>
            <w:pPr>
              <w:pStyle w:val="ListParagraph"/>
              <w:numPr>
                <w:ilvl w:val="0"/>
                <w:numId w:val="1"/>
              </w:numPr>
              <w:spacing w:after="60" w:line="264"/>
            </w:pPr>
            <w:r>
              <w:rPr>
                <w:rFonts w:ascii="Calibri" w:cs="Calibri" w:eastAsia="Calibri" w:hAnsi="Calibri"/>
                <w:sz w:val="20"/>
                <w:szCs w:val="20"/>
              </w:rPr>
              <w:t xml:space="preserve">Variables &amp; Scope: Studied global vs. local variables in Python.</w:t>
            </w:r>
          </w:p>
          <w:p>
            <w:pPr>
              <w:pStyle w:val="ListParagraph"/>
              <w:numPr>
                <w:ilvl w:val="0"/>
                <w:numId w:val="1"/>
              </w:numPr>
              <w:spacing w:after="60" w:line="264"/>
            </w:pPr>
            <w:r>
              <w:rPr>
                <w:rFonts w:ascii="Calibri" w:cs="Calibri" w:eastAsia="Calibri" w:hAnsi="Calibri"/>
                <w:sz w:val="20"/>
                <w:szCs w:val="20"/>
              </w:rPr>
              <w:t xml:space="preserve">Classes, Constructors &amp; Objects: Studied classes as blueprints, objects as instances, and the __init__() vs. __new__() constructor methods.</w:t>
            </w:r>
          </w:p>
          <w:p>
            <w:pPr>
              <w:pStyle w:val="ListParagraph"/>
              <w:numPr>
                <w:ilvl w:val="0"/>
                <w:numId w:val="1"/>
              </w:numPr>
              <w:spacing w:after="60" w:line="264"/>
            </w:pPr>
            <w:r>
              <w:rPr>
                <w:rFonts w:ascii="Calibri" w:cs="Calibri" w:eastAsia="Calibri" w:hAnsi="Calibri"/>
                <w:sz w:val="20"/>
                <w:szCs w:val="20"/>
              </w:rPr>
              <w:t xml:space="preserve">OOP Concepts: Practiced Inheritance (QA example: a BasePage with common browser actions inherited by page classes), Polymorphism, Encapsulation (public/protected/private access levels), and Abstraction.</w:t>
            </w:r>
          </w:p>
          <w:p>
            <w:pPr>
              <w:pStyle w:val="ListParagraph"/>
              <w:numPr>
                <w:ilvl w:val="0"/>
                <w:numId w:val="1"/>
              </w:numPr>
              <w:spacing w:after="60" w:line="264"/>
            </w:pPr>
            <w:r>
              <w:rPr>
                <w:rFonts w:ascii="Calibri" w:cs="Calibri" w:eastAsia="Calibri" w:hAnsi="Calibri"/>
                <w:sz w:val="20"/>
                <w:szCs w:val="20"/>
              </w:rPr>
              <w:t xml:space="preserve">Exception Handling: Practiced try, except, else, and finally, and their relevance to handling unexpected automation failures.</w:t>
            </w:r>
          </w:p>
          <w:p>
            <w:pPr>
              <w:pStyle w:val="ListParagraph"/>
              <w:numPr>
                <w:ilvl w:val="0"/>
                <w:numId w:val="1"/>
              </w:numPr>
              <w:spacing w:after="60" w:line="264"/>
            </w:pPr>
            <w:r>
              <w:rPr>
                <w:rFonts w:ascii="Calibri" w:cs="Calibri" w:eastAsia="Calibri" w:hAnsi="Calibri"/>
                <w:sz w:val="20"/>
                <w:szCs w:val="20"/>
              </w:rPr>
              <w:t xml:space="preserve">Nested Functions: Practiced a nested-function example to demonstrate function scope and execution order.</w:t>
            </w:r>
          </w:p>
          <w:p>
            <w:pPr>
              <w:pStyle w:val="ListParagraph"/>
              <w:numPr>
                <w:ilvl w:val="0"/>
                <w:numId w:val="1"/>
              </w:numPr>
              <w:spacing w:after="60" w:line="264"/>
            </w:pPr>
            <w:r>
              <w:rPr>
                <w:rFonts w:ascii="Calibri" w:cs="Calibri" w:eastAsia="Calibri" w:hAnsi="Calibri"/>
                <w:sz w:val="20"/>
                <w:szCs w:val="20"/>
              </w:rPr>
              <w:t xml:space="preserve">Git Branching, Merging &amp; Conflicts: Studied why teams use branches, git branch/checkout commands, git merge, and merge conflicts with a worked example.</w:t>
            </w:r>
          </w:p>
          <w:p>
            <w:pPr>
              <w:pStyle w:val="ListParagraph"/>
              <w:numPr>
                <w:ilvl w:val="0"/>
                <w:numId w:val="1"/>
              </w:numPr>
              <w:spacing w:after="60" w:line="264"/>
            </w:pPr>
            <w:r>
              <w:rPr>
                <w:rFonts w:ascii="Calibri" w:cs="Calibri" w:eastAsia="Calibri" w:hAnsi="Calibri"/>
                <w:sz w:val="20"/>
                <w:szCs w:val="20"/>
              </w:rPr>
              <w:t xml:space="preserve">AI-Assisted: Used AI prompts to refactor Playwright login code into a LoginPage class (Page Object Model) and to explain the Git branching/Pull Request workflow.</w:t>
            </w:r>
          </w:p>
          <w:p>
            <w:pPr>
              <w:spacing w:after="20" w:before="100"/>
            </w:pPr>
            <w:r>
              <w:rPr>
                <w:rFonts w:ascii="Calibri" w:cs="Calibri" w:eastAsia="Calibri" w:hAnsi="Calibri"/>
                <w:b/>
                <w:bCs/>
                <w:sz w:val="20"/>
                <w:szCs w:val="20"/>
              </w:rPr>
              <w:t xml:space="preserve">Daily Report Link:</w:t>
            </w:r>
          </w:p>
          <w:p>
            <w:pPr>
              <w:spacing w:after="20" w:before="100"/>
            </w:pPr>
            <w:r>
              <w:rPr>
                <w:rFonts w:ascii="Calibri" w:cs="Calibri" w:eastAsia="Calibri" w:hAnsi="Calibri"/>
                <w:sz w:val="20"/>
                <w:szCs w:val="20"/>
              </w:rPr>
              <w:t xml:space="preserve">Not Provided</w:t>
            </w:r>
          </w:p>
        </w:tc>
        <w:tc>
          <w:tcPr>
            <w:tcW w:type="dxa" w:w="1000"/>
            <w:tcMar>
              <w:top w:type="dxa" w:w="100"/>
              <w:left w:type="dxa" w:w="100"/>
              <w:bottom w:type="dxa" w:w="100"/>
              <w:right w:type="dxa" w:w="100"/>
            </w:tcMar>
            <w:vAlign w:val="top"/>
          </w:tcPr>
          <w:p>
            <w:r>
              <w:rPr>
                <w:rFonts w:ascii="Calibri" w:cs="Calibri" w:eastAsia="Calibri" w:hAnsi="Calibri"/>
                <w:sz w:val="20"/>
                <w:szCs w:val="20"/>
              </w:rPr>
              <w:t xml:space="preserve">Not Provided</w:t>
            </w:r>
          </w:p>
        </w:tc>
        <w:tc>
          <w:tcPr>
            <w:tcW w:type="dxa" w:w="1390"/>
            <w:tcMar>
              <w:top w:type="dxa" w:w="100"/>
              <w:left w:type="dxa" w:w="100"/>
              <w:bottom w:type="dxa" w:w="100"/>
              <w:right w:type="dxa" w:w="100"/>
            </w:tcMar>
            <w:vAlign w:val="top"/>
          </w:tcPr>
          <w:p>
            <w:r>
              <w:rPr>
                <w:rFonts w:ascii="Calibri" w:cs="Calibri" w:eastAsia="Calibri" w:hAnsi="Calibri"/>
                <w:sz w:val="20"/>
                <w:szCs w:val="20"/>
              </w:rPr>
              <w:t xml:space="preserve">Completed</w:t>
            </w:r>
          </w:p>
        </w:tc>
      </w:tr>
      <w:tr>
        <w:tc>
          <w:tcPr>
            <w:tcW w:type="dxa" w:w="950"/>
            <w:tcMar>
              <w:top w:type="dxa" w:w="100"/>
              <w:left w:type="dxa" w:w="100"/>
              <w:bottom w:type="dxa" w:w="100"/>
              <w:right w:type="dxa" w:w="100"/>
            </w:tcMar>
            <w:vAlign w:val="top"/>
          </w:tcPr>
          <w:p>
            <w:r>
              <w:rPr>
                <w:rFonts w:ascii="Calibri" w:cs="Calibri" w:eastAsia="Calibri" w:hAnsi="Calibri"/>
                <w:b/>
                <w:bCs/>
                <w:sz w:val="20"/>
                <w:szCs w:val="20"/>
              </w:rPr>
              <w:t xml:space="preserve">Day 2
(Oct 1, 2026)</w:t>
            </w:r>
          </w:p>
        </w:tc>
        <w:tc>
          <w:tcPr>
            <w:tcW w:type="dxa" w:w="6300"/>
            <w:tcMar>
              <w:top w:type="dxa" w:w="100"/>
              <w:left w:type="dxa" w:w="100"/>
              <w:bottom w:type="dxa" w:w="100"/>
              <w:right w:type="dxa" w:w="100"/>
            </w:tcMar>
            <w:vAlign w:val="top"/>
          </w:tcPr>
          <w:p>
            <w:pPr>
              <w:pStyle w:val="ListParagraph"/>
              <w:numPr>
                <w:ilvl w:val="0"/>
                <w:numId w:val="1"/>
              </w:numPr>
              <w:spacing w:after="60" w:line="264"/>
            </w:pPr>
            <w:r>
              <w:rPr>
                <w:rFonts w:ascii="Calibri" w:cs="Calibri" w:eastAsia="Calibri" w:hAnsi="Calibri"/>
                <w:sz w:val="20"/>
                <w:szCs w:val="20"/>
              </w:rPr>
              <w:t xml:space="preserve">Pytest Fundamentals: Studied Pytest as a Python testing framework using the test_ naming convention.</w:t>
            </w:r>
          </w:p>
          <w:p>
            <w:pPr>
              <w:pStyle w:val="ListParagraph"/>
              <w:numPr>
                <w:ilvl w:val="0"/>
                <w:numId w:val="1"/>
              </w:numPr>
              <w:spacing w:after="60" w:line="264"/>
            </w:pPr>
            <w:r>
              <w:rPr>
                <w:rFonts w:ascii="Calibri" w:cs="Calibri" w:eastAsia="Calibri" w:hAnsi="Calibri"/>
                <w:sz w:val="20"/>
                <w:szCs w:val="20"/>
              </w:rPr>
              <w:t xml:space="preserve">Functions Under Test: Built checkItemInStock(), calcTotal(), and suffentbalance() for a user purchasing module (userId = 1, Shekhar Rawal).</w:t>
            </w:r>
          </w:p>
          <w:p>
            <w:pPr>
              <w:pStyle w:val="ListParagraph"/>
              <w:numPr>
                <w:ilvl w:val="0"/>
                <w:numId w:val="1"/>
              </w:numPr>
              <w:spacing w:after="60" w:line="264"/>
            </w:pPr>
            <w:r>
              <w:rPr>
                <w:rFonts w:ascii="Calibri" w:cs="Calibri" w:eastAsia="Calibri" w:hAnsi="Calibri"/>
                <w:sz w:val="20"/>
                <w:szCs w:val="20"/>
              </w:rPr>
              <w:t xml:space="preserve">Assertions: Wrote assertions validating username length/characters, balance data type, purchased-item/tuple structure, stock dictionary, total calculation, and sufficient-balance result.</w:t>
            </w:r>
          </w:p>
          <w:p>
            <w:pPr>
              <w:pStyle w:val="ListParagraph"/>
              <w:numPr>
                <w:ilvl w:val="0"/>
                <w:numId w:val="1"/>
              </w:numPr>
              <w:spacing w:after="60" w:line="264"/>
            </w:pPr>
            <w:r>
              <w:rPr>
                <w:rFonts w:ascii="Calibri" w:cs="Calibri" w:eastAsia="Calibri" w:hAnsi="Calibri"/>
                <w:sz w:val="20"/>
                <w:szCs w:val="20"/>
              </w:rPr>
              <w:t xml:space="preserve">Parameterization: Used @pytest.mark.parametrize to run the same balance test across three different balance values (2000, 3000, 5000).</w:t>
            </w:r>
          </w:p>
          <w:p>
            <w:pPr>
              <w:pStyle w:val="ListParagraph"/>
              <w:numPr>
                <w:ilvl w:val="0"/>
                <w:numId w:val="1"/>
              </w:numPr>
              <w:spacing w:after="60" w:line="264"/>
            </w:pPr>
            <w:r>
              <w:rPr>
                <w:rFonts w:ascii="Calibri" w:cs="Calibri" w:eastAsia="Calibri" w:hAnsi="Calibri"/>
                <w:sz w:val="20"/>
                <w:szCs w:val="20"/>
              </w:rPr>
              <w:t xml:space="preserve">Fixtures &amp; Markers: Studied the purpose of fixtures (a fixture in the code was commented out and not actively used); practiced the parameterization marker and studied custom markers (Smoke, Regression, Integration, Unit) conceptually.</w:t>
            </w:r>
          </w:p>
          <w:p>
            <w:pPr>
              <w:pStyle w:val="ListParagraph"/>
              <w:numPr>
                <w:ilvl w:val="0"/>
                <w:numId w:val="1"/>
              </w:numPr>
              <w:spacing w:after="60" w:line="264"/>
            </w:pPr>
            <w:r>
              <w:rPr>
                <w:rFonts w:ascii="Calibri" w:cs="Calibri" w:eastAsia="Calibri" w:hAnsi="Calibri"/>
                <w:sz w:val="20"/>
                <w:szCs w:val="20"/>
              </w:rPr>
              <w:t xml:space="preserve">Practical: Generated an Allure report for the full Pytest test suite covering username, balance, purchased items, stock, total calculation, and sufficient balance.</w:t>
            </w:r>
          </w:p>
          <w:p>
            <w:pPr>
              <w:spacing w:after="20" w:before="100"/>
            </w:pPr>
            <w:r>
              <w:rPr>
                <w:rFonts w:ascii="Calibri" w:cs="Calibri" w:eastAsia="Calibri" w:hAnsi="Calibri"/>
                <w:b/>
                <w:bCs/>
                <w:sz w:val="20"/>
                <w:szCs w:val="20"/>
              </w:rPr>
              <w:t xml:space="preserve">Daily Report Link:</w:t>
            </w:r>
          </w:p>
          <w:p>
            <w:pPr>
              <w:spacing w:after="20" w:before="100"/>
            </w:pPr>
            <w:r>
              <w:rPr>
                <w:rFonts w:ascii="Calibri" w:cs="Calibri" w:eastAsia="Calibri" w:hAnsi="Calibri"/>
                <w:sz w:val="20"/>
                <w:szCs w:val="20"/>
              </w:rPr>
              <w:t xml:space="preserve">Not Provided</w:t>
            </w:r>
          </w:p>
        </w:tc>
        <w:tc>
          <w:tcPr>
            <w:tcW w:type="dxa" w:w="1000"/>
            <w:tcMar>
              <w:top w:type="dxa" w:w="100"/>
              <w:left w:type="dxa" w:w="100"/>
              <w:bottom w:type="dxa" w:w="100"/>
              <w:right w:type="dxa" w:w="100"/>
            </w:tcMar>
            <w:vAlign w:val="top"/>
          </w:tcPr>
          <w:p>
            <w:r>
              <w:rPr>
                <w:rFonts w:ascii="Calibri" w:cs="Calibri" w:eastAsia="Calibri" w:hAnsi="Calibri"/>
                <w:sz w:val="20"/>
                <w:szCs w:val="20"/>
              </w:rPr>
              <w:t xml:space="preserve">Not Provided</w:t>
            </w:r>
          </w:p>
        </w:tc>
        <w:tc>
          <w:tcPr>
            <w:tcW w:type="dxa" w:w="1390"/>
            <w:tcMar>
              <w:top w:type="dxa" w:w="100"/>
              <w:left w:type="dxa" w:w="100"/>
              <w:bottom w:type="dxa" w:w="100"/>
              <w:right w:type="dxa" w:w="100"/>
            </w:tcMar>
            <w:vAlign w:val="top"/>
          </w:tcPr>
          <w:p>
            <w:r>
              <w:rPr>
                <w:rFonts w:ascii="Calibri" w:cs="Calibri" w:eastAsia="Calibri" w:hAnsi="Calibri"/>
                <w:sz w:val="20"/>
                <w:szCs w:val="20"/>
              </w:rPr>
              <w:t xml:space="preserve">Completed</w:t>
            </w:r>
          </w:p>
        </w:tc>
      </w:tr>
      <w:tr>
        <w:tc>
          <w:tcPr>
            <w:tcW w:type="dxa" w:w="950"/>
            <w:tcMar>
              <w:top w:type="dxa" w:w="100"/>
              <w:left w:type="dxa" w:w="100"/>
              <w:bottom w:type="dxa" w:w="100"/>
              <w:right w:type="dxa" w:w="100"/>
            </w:tcMar>
            <w:vAlign w:val="top"/>
          </w:tcPr>
          <w:p>
            <w:r>
              <w:rPr>
                <w:rFonts w:ascii="Calibri" w:cs="Calibri" w:eastAsia="Calibri" w:hAnsi="Calibri"/>
                <w:b/>
                <w:bCs/>
                <w:sz w:val="20"/>
                <w:szCs w:val="20"/>
              </w:rPr>
              <w:t xml:space="preserve">Day 3
(Oct 3, 2026)</w:t>
            </w:r>
          </w:p>
        </w:tc>
        <w:tc>
          <w:tcPr>
            <w:tcW w:type="dxa" w:w="6300"/>
            <w:tcMar>
              <w:top w:type="dxa" w:w="100"/>
              <w:left w:type="dxa" w:w="100"/>
              <w:bottom w:type="dxa" w:w="100"/>
              <w:right w:type="dxa" w:w="100"/>
            </w:tcMar>
            <w:vAlign w:val="top"/>
          </w:tcPr>
          <w:p>
            <w:pPr>
              <w:pStyle w:val="ListParagraph"/>
              <w:numPr>
                <w:ilvl w:val="0"/>
                <w:numId w:val="1"/>
              </w:numPr>
              <w:spacing w:after="60" w:line="264"/>
            </w:pPr>
            <w:r>
              <w:rPr>
                <w:rFonts w:ascii="Calibri" w:cs="Calibri" w:eastAsia="Calibri" w:hAnsi="Calibri"/>
                <w:sz w:val="20"/>
                <w:szCs w:val="20"/>
              </w:rPr>
              <w:t xml:space="preserve">Allure Metadata: Applied @allure.feature(), @allure.story(), @allure.title(), and @allure.severity() decorators to the Day 2 user-purchasing test suite.</w:t>
            </w:r>
          </w:p>
          <w:p>
            <w:pPr>
              <w:pStyle w:val="ListParagraph"/>
              <w:numPr>
                <w:ilvl w:val="0"/>
                <w:numId w:val="1"/>
              </w:numPr>
              <w:spacing w:after="60" w:line="264"/>
            </w:pPr>
            <w:r>
              <w:rPr>
                <w:rFonts w:ascii="Calibri" w:cs="Calibri" w:eastAsia="Calibri" w:hAnsi="Calibri"/>
                <w:sz w:val="20"/>
                <w:szCs w:val="20"/>
              </w:rPr>
              <w:t xml:space="preserve">Feature &amp; Story Hierarchy: Organized tests under Features (User Validation, Balance, Items, Shopping) and corresponding Stories (Username, Balance Validation, Purchased Items/Stock, Total Calculation/Balance Check).</w:t>
            </w:r>
          </w:p>
          <w:p>
            <w:pPr>
              <w:pStyle w:val="ListParagraph"/>
              <w:numPr>
                <w:ilvl w:val="0"/>
                <w:numId w:val="1"/>
              </w:numPr>
              <w:spacing w:after="60" w:line="264"/>
            </w:pPr>
            <w:r>
              <w:rPr>
                <w:rFonts w:ascii="Calibri" w:cs="Calibri" w:eastAsia="Calibri" w:hAnsi="Calibri"/>
                <w:sz w:val="20"/>
                <w:szCs w:val="20"/>
              </w:rPr>
              <w:t xml:space="preserve">Title &amp; Severity: Gave readable titles to tests (e.g., "Verify total price calculation") and applied severity levels (TRIVIAL to BLOCKER), marking the total-calculation and sufficient-balance tests CRITICAL.</w:t>
            </w:r>
          </w:p>
          <w:p>
            <w:pPr>
              <w:pStyle w:val="ListParagraph"/>
              <w:numPr>
                <w:ilvl w:val="0"/>
                <w:numId w:val="1"/>
              </w:numPr>
              <w:spacing w:after="60" w:line="264"/>
            </w:pPr>
            <w:r>
              <w:rPr>
                <w:rFonts w:ascii="Calibri" w:cs="Calibri" w:eastAsia="Calibri" w:hAnsi="Calibri"/>
                <w:sz w:val="20"/>
                <w:szCs w:val="20"/>
              </w:rPr>
              <w:t xml:space="preserve">Allure Steps &amp; Behaviors: Practiced allure.step() for readable test actions, and studied Behavior-based organization (Feature → Story → Test).</w:t>
            </w:r>
          </w:p>
          <w:p>
            <w:pPr>
              <w:pStyle w:val="ListParagraph"/>
              <w:numPr>
                <w:ilvl w:val="0"/>
                <w:numId w:val="1"/>
              </w:numPr>
              <w:spacing w:after="60" w:line="264"/>
            </w:pPr>
            <w:r>
              <w:rPr>
                <w:rFonts w:ascii="Calibri" w:cs="Calibri" w:eastAsia="Calibri" w:hAnsi="Calibri"/>
                <w:sz w:val="20"/>
                <w:szCs w:val="20"/>
              </w:rPr>
              <w:t xml:space="preserve">Suites &amp; Trends: Studied Suites as a logical grouping concept (not explicitly implemented in the provided code) and Trends as a way to monitor pass/fail patterns across multiple test runs.</w:t>
            </w:r>
          </w:p>
          <w:p>
            <w:pPr>
              <w:pStyle w:val="ListParagraph"/>
              <w:numPr>
                <w:ilvl w:val="0"/>
                <w:numId w:val="1"/>
              </w:numPr>
              <w:spacing w:after="60" w:line="264"/>
            </w:pPr>
            <w:r>
              <w:rPr>
                <w:rFonts w:ascii="Calibri" w:cs="Calibri" w:eastAsia="Calibri" w:hAnsi="Calibri"/>
                <w:sz w:val="20"/>
                <w:szCs w:val="20"/>
              </w:rPr>
              <w:t xml:space="preserve">Practical: Organized the full user-purchasing test suite into a Feature/Story/Example-Test/Severity table.</w:t>
            </w:r>
          </w:p>
          <w:p>
            <w:pPr>
              <w:spacing w:after="20" w:before="100"/>
            </w:pPr>
            <w:r>
              <w:rPr>
                <w:rFonts w:ascii="Calibri" w:cs="Calibri" w:eastAsia="Calibri" w:hAnsi="Calibri"/>
                <w:b/>
                <w:bCs/>
                <w:sz w:val="20"/>
                <w:szCs w:val="20"/>
              </w:rPr>
              <w:t xml:space="preserve">Daily Report Link:</w:t>
            </w:r>
          </w:p>
          <w:p>
            <w:pPr>
              <w:spacing w:after="20" w:before="100"/>
            </w:pPr>
            <w:r>
              <w:rPr>
                <w:rFonts w:ascii="Calibri" w:cs="Calibri" w:eastAsia="Calibri" w:hAnsi="Calibri"/>
                <w:sz w:val="20"/>
                <w:szCs w:val="20"/>
              </w:rPr>
              <w:t xml:space="preserve">Not Provided</w:t>
            </w:r>
          </w:p>
        </w:tc>
        <w:tc>
          <w:tcPr>
            <w:tcW w:type="dxa" w:w="1000"/>
            <w:tcMar>
              <w:top w:type="dxa" w:w="100"/>
              <w:left w:type="dxa" w:w="100"/>
              <w:bottom w:type="dxa" w:w="100"/>
              <w:right w:type="dxa" w:w="100"/>
            </w:tcMar>
            <w:vAlign w:val="top"/>
          </w:tcPr>
          <w:p>
            <w:r>
              <w:rPr>
                <w:rFonts w:ascii="Calibri" w:cs="Calibri" w:eastAsia="Calibri" w:hAnsi="Calibri"/>
                <w:sz w:val="20"/>
                <w:szCs w:val="20"/>
              </w:rPr>
              <w:t xml:space="preserve">Not Provided</w:t>
            </w:r>
          </w:p>
        </w:tc>
        <w:tc>
          <w:tcPr>
            <w:tcW w:type="dxa" w:w="1390"/>
            <w:tcMar>
              <w:top w:type="dxa" w:w="100"/>
              <w:left w:type="dxa" w:w="100"/>
              <w:bottom w:type="dxa" w:w="100"/>
              <w:right w:type="dxa" w:w="100"/>
            </w:tcMar>
            <w:vAlign w:val="top"/>
          </w:tcPr>
          <w:p>
            <w:r>
              <w:rPr>
                <w:rFonts w:ascii="Calibri" w:cs="Calibri" w:eastAsia="Calibri" w:hAnsi="Calibri"/>
                <w:sz w:val="20"/>
                <w:szCs w:val="20"/>
              </w:rPr>
              <w:t xml:space="preserve">Completed</w:t>
            </w:r>
          </w:p>
        </w:tc>
      </w:tr>
      <w:tr>
        <w:tc>
          <w:tcPr>
            <w:tcW w:type="dxa" w:w="950"/>
            <w:tcMar>
              <w:top w:type="dxa" w:w="100"/>
              <w:left w:type="dxa" w:w="100"/>
              <w:bottom w:type="dxa" w:w="100"/>
              <w:right w:type="dxa" w:w="100"/>
            </w:tcMar>
            <w:vAlign w:val="top"/>
          </w:tcPr>
          <w:p>
            <w:r>
              <w:rPr>
                <w:rFonts w:ascii="Calibri" w:cs="Calibri" w:eastAsia="Calibri" w:hAnsi="Calibri"/>
                <w:b/>
                <w:bCs/>
                <w:sz w:val="20"/>
                <w:szCs w:val="20"/>
              </w:rPr>
              <w:t xml:space="preserve">Day 4
(Oct 4, 2026)</w:t>
            </w:r>
          </w:p>
        </w:tc>
        <w:tc>
          <w:tcPr>
            <w:tcW w:type="dxa" w:w="6300"/>
            <w:tcMar>
              <w:top w:type="dxa" w:w="100"/>
              <w:left w:type="dxa" w:w="100"/>
              <w:bottom w:type="dxa" w:w="100"/>
              <w:right w:type="dxa" w:w="100"/>
            </w:tcMar>
            <w:vAlign w:val="top"/>
          </w:tcPr>
          <w:p>
            <w:pPr>
              <w:pStyle w:val="ListParagraph"/>
              <w:numPr>
                <w:ilvl w:val="0"/>
                <w:numId w:val="1"/>
              </w:numPr>
              <w:spacing w:after="60" w:line="264"/>
            </w:pPr>
            <w:r>
              <w:rPr>
                <w:rFonts w:ascii="Calibri" w:cs="Calibri" w:eastAsia="Calibri" w:hAnsi="Calibri"/>
                <w:sz w:val="20"/>
                <w:szCs w:val="20"/>
              </w:rPr>
              <w:t xml:space="preserve">Test KPIs: Studied Pass Rate, Defect Density, and Test Coverage, each with a worked calculation example, aligned with ISTQB Chapter 5.3 (Test Monitoring and Control).</w:t>
            </w:r>
          </w:p>
          <w:p>
            <w:pPr>
              <w:pStyle w:val="ListParagraph"/>
              <w:numPr>
                <w:ilvl w:val="0"/>
                <w:numId w:val="1"/>
              </w:numPr>
              <w:spacing w:after="60" w:line="264"/>
            </w:pPr>
            <w:r>
              <w:rPr>
                <w:rFonts w:ascii="Calibri" w:cs="Calibri" w:eastAsia="Calibri" w:hAnsi="Calibri"/>
                <w:sz w:val="20"/>
                <w:szCs w:val="20"/>
              </w:rPr>
              <w:t xml:space="preserve">Python Logging: Studied the logging module (logging.info/warning/error) as a structured alternative to print(), and applied it to a sample automation test with try/except.</w:t>
            </w:r>
          </w:p>
          <w:p>
            <w:pPr>
              <w:pStyle w:val="ListParagraph"/>
              <w:numPr>
                <w:ilvl w:val="0"/>
                <w:numId w:val="1"/>
              </w:numPr>
              <w:spacing w:after="60" w:line="264"/>
            </w:pPr>
            <w:r>
              <w:rPr>
                <w:rFonts w:ascii="Calibri" w:cs="Calibri" w:eastAsia="Calibri" w:hAnsi="Calibri"/>
                <w:sz w:val="20"/>
                <w:szCs w:val="20"/>
              </w:rPr>
              <w:t xml:space="preserve">Log Levels &amp; Log Files: Studied DEBUG, INFO, WARNING, ERROR, and CRITICAL log levels, and how a log file (e.g., test_execution.log) preserves execution history for root-cause analysis.</w:t>
            </w:r>
          </w:p>
          <w:p>
            <w:pPr>
              <w:pStyle w:val="ListParagraph"/>
              <w:numPr>
                <w:ilvl w:val="0"/>
                <w:numId w:val="1"/>
              </w:numPr>
              <w:spacing w:after="60" w:line="264"/>
            </w:pPr>
            <w:r>
              <w:rPr>
                <w:rFonts w:ascii="Calibri" w:cs="Calibri" w:eastAsia="Calibri" w:hAnsi="Calibri"/>
                <w:sz w:val="20"/>
                <w:szCs w:val="20"/>
              </w:rPr>
              <w:t xml:space="preserve">Extended QA Metrics: Reviewed 20 additional QA metrics with real-life example calculations, including Defect Arrival Rate, Defect Severity Index, Defect Removal Efficiency, Defect Leakage, Reopen Rate, Automation Coverage, Flaky Test Rate, and Automation ROI.</w:t>
            </w:r>
          </w:p>
          <w:p>
            <w:pPr>
              <w:pStyle w:val="ListParagraph"/>
              <w:numPr>
                <w:ilvl w:val="0"/>
                <w:numId w:val="1"/>
              </w:numPr>
              <w:spacing w:after="60" w:line="264"/>
            </w:pPr>
            <w:r>
              <w:rPr>
                <w:rFonts w:ascii="Calibri" w:cs="Calibri" w:eastAsia="Calibri" w:hAnsi="Calibri"/>
                <w:sz w:val="20"/>
                <w:szCs w:val="20"/>
              </w:rPr>
              <w:t xml:space="preserve">AI-Assisted: Used an AI prompt to analyze a test execution report and summarize quality metrics and risks, with the finding that AI-generated conclusions must be reviewed by the tester rather than accepted blindly.</w:t>
            </w:r>
          </w:p>
          <w:p>
            <w:pPr>
              <w:spacing w:after="20" w:before="100"/>
            </w:pPr>
            <w:r>
              <w:rPr>
                <w:rFonts w:ascii="Calibri" w:cs="Calibri" w:eastAsia="Calibri" w:hAnsi="Calibri"/>
                <w:b/>
                <w:bCs/>
                <w:sz w:val="20"/>
                <w:szCs w:val="20"/>
              </w:rPr>
              <w:t xml:space="preserve">Daily Report Link:</w:t>
            </w:r>
          </w:p>
          <w:p>
            <w:pPr>
              <w:spacing w:after="20" w:before="100"/>
            </w:pPr>
            <w:r>
              <w:rPr>
                <w:rFonts w:ascii="Calibri" w:cs="Calibri" w:eastAsia="Calibri" w:hAnsi="Calibri"/>
                <w:sz w:val="20"/>
                <w:szCs w:val="20"/>
              </w:rPr>
              <w:t xml:space="preserve">Not Provided</w:t>
            </w:r>
          </w:p>
        </w:tc>
        <w:tc>
          <w:tcPr>
            <w:tcW w:type="dxa" w:w="1000"/>
            <w:tcMar>
              <w:top w:type="dxa" w:w="100"/>
              <w:left w:type="dxa" w:w="100"/>
              <w:bottom w:type="dxa" w:w="100"/>
              <w:right w:type="dxa" w:w="100"/>
            </w:tcMar>
            <w:vAlign w:val="top"/>
          </w:tcPr>
          <w:p>
            <w:r>
              <w:rPr>
                <w:rFonts w:ascii="Calibri" w:cs="Calibri" w:eastAsia="Calibri" w:hAnsi="Calibri"/>
                <w:sz w:val="20"/>
                <w:szCs w:val="20"/>
              </w:rPr>
              <w:t xml:space="preserve">Not Provided</w:t>
            </w:r>
          </w:p>
        </w:tc>
        <w:tc>
          <w:tcPr>
            <w:tcW w:type="dxa" w:w="1390"/>
            <w:tcMar>
              <w:top w:type="dxa" w:w="100"/>
              <w:left w:type="dxa" w:w="100"/>
              <w:bottom w:type="dxa" w:w="100"/>
              <w:right w:type="dxa" w:w="100"/>
            </w:tcMar>
            <w:vAlign w:val="top"/>
          </w:tcPr>
          <w:p>
            <w:r>
              <w:rPr>
                <w:rFonts w:ascii="Calibri" w:cs="Calibri" w:eastAsia="Calibri" w:hAnsi="Calibri"/>
                <w:sz w:val="20"/>
                <w:szCs w:val="20"/>
              </w:rPr>
              <w:t xml:space="preserve">Completed</w:t>
            </w:r>
          </w:p>
        </w:tc>
      </w:tr>
      <w:tr>
        <w:tc>
          <w:tcPr>
            <w:tcW w:type="dxa" w:w="950"/>
            <w:tcMar>
              <w:top w:type="dxa" w:w="100"/>
              <w:left w:type="dxa" w:w="100"/>
              <w:bottom w:type="dxa" w:w="100"/>
              <w:right w:type="dxa" w:w="100"/>
            </w:tcMar>
            <w:vAlign w:val="top"/>
          </w:tcPr>
          <w:p>
            <w:r>
              <w:rPr>
                <w:rFonts w:ascii="Calibri" w:cs="Calibri" w:eastAsia="Calibri" w:hAnsi="Calibri"/>
                <w:b/>
                <w:bCs/>
                <w:sz w:val="20"/>
                <w:szCs w:val="20"/>
              </w:rPr>
              <w:t xml:space="preserve">Day 5
(Oct 5, 2026)</w:t>
            </w:r>
          </w:p>
        </w:tc>
        <w:tc>
          <w:tcPr>
            <w:tcW w:type="dxa" w:w="6300"/>
            <w:tcMar>
              <w:top w:type="dxa" w:w="100"/>
              <w:left w:type="dxa" w:w="100"/>
              <w:bottom w:type="dxa" w:w="100"/>
              <w:right w:type="dxa" w:w="100"/>
            </w:tcMar>
            <w:vAlign w:val="top"/>
          </w:tcPr>
          <w:p>
            <w:pPr>
              <w:pStyle w:val="ListParagraph"/>
              <w:numPr>
                <w:ilvl w:val="0"/>
                <w:numId w:val="1"/>
              </w:numPr>
              <w:spacing w:after="60" w:line="264"/>
            </w:pPr>
            <w:r>
              <w:rPr>
                <w:rFonts w:ascii="Calibri" w:cs="Calibri" w:eastAsia="Calibri" w:hAnsi="Calibri"/>
                <w:sz w:val="20"/>
                <w:szCs w:val="20"/>
              </w:rPr>
              <w:t xml:space="preserve">Playwright + Pytest + Allure: Automated the DemoQA Registration module (valid registration, existing username, invalid password — 3 test cases) and Login module (valid login, invalid username, invalid password, empty fields — 4 test cases), totaling 7 test cases, organized with Allure title/description/feature/story/severity metadata.</w:t>
            </w:r>
          </w:p>
          <w:p>
            <w:pPr>
              <w:pStyle w:val="ListParagraph"/>
              <w:numPr>
                <w:ilvl w:val="0"/>
                <w:numId w:val="1"/>
              </w:numPr>
              <w:spacing w:after="60" w:line="264"/>
            </w:pPr>
            <w:r>
              <w:rPr>
                <w:rFonts w:ascii="Calibri" w:cs="Calibri" w:eastAsia="Calibri" w:hAnsi="Calibri"/>
                <w:sz w:val="20"/>
                <w:szCs w:val="20"/>
              </w:rPr>
              <w:t xml:space="preserve">Locator Strategies: Practiced Role, Textbox, Placeholder, CSS Selector, and ID Selector locators across the Registration and Login tests.</w:t>
            </w:r>
          </w:p>
          <w:p>
            <w:pPr>
              <w:pStyle w:val="ListParagraph"/>
              <w:numPr>
                <w:ilvl w:val="0"/>
                <w:numId w:val="1"/>
              </w:numPr>
              <w:spacing w:after="60" w:line="264"/>
            </w:pPr>
            <w:r>
              <w:rPr>
                <w:rFonts w:ascii="Calibri" w:cs="Calibri" w:eastAsia="Calibri" w:hAnsi="Calibri"/>
                <w:sz w:val="20"/>
                <w:szCs w:val="20"/>
              </w:rPr>
              <w:t xml:space="preserve">Assertions: Used to_contain_text() and to_have_class() to verify both positive and negative login/registration behavior.</w:t>
            </w:r>
          </w:p>
          <w:p>
            <w:pPr>
              <w:pStyle w:val="ListParagraph"/>
              <w:numPr>
                <w:ilvl w:val="0"/>
                <w:numId w:val="1"/>
              </w:numPr>
              <w:spacing w:after="60" w:line="264"/>
            </w:pPr>
            <w:r>
              <w:rPr>
                <w:rFonts w:ascii="Calibri" w:cs="Calibri" w:eastAsia="Calibri" w:hAnsi="Calibri"/>
                <w:sz w:val="20"/>
                <w:szCs w:val="20"/>
              </w:rPr>
              <w:t xml:space="preserve">Python Package Management: Practiced pip freeze &gt; requirements.txt and pip install -r requirements.txt for sharing consistent dependencies across environments.</w:t>
            </w:r>
          </w:p>
          <w:p>
            <w:pPr>
              <w:pStyle w:val="ListParagraph"/>
              <w:numPr>
                <w:ilvl w:val="0"/>
                <w:numId w:val="1"/>
              </w:numPr>
              <w:spacing w:after="60" w:line="264"/>
            </w:pPr>
            <w:r>
              <w:rPr>
                <w:rFonts w:ascii="Calibri" w:cs="Calibri" w:eastAsia="Calibri" w:hAnsi="Calibri"/>
                <w:sz w:val="20"/>
                <w:szCs w:val="20"/>
              </w:rPr>
              <w:t xml:space="preserve">Week 5 Revision: Revised Python OOP (classes, inheritance, polymorphism, encapsulation, abstraction, exception handling), Git branches &amp; Pull Requests, Allure reporting (Feature/Story/Title/Severity/Behaviors/Suites/Trends), test metrics &amp; KPIs, and Python logging.</w:t>
            </w:r>
          </w:p>
          <w:p>
            <w:pPr>
              <w:pStyle w:val="ListParagraph"/>
              <w:numPr>
                <w:ilvl w:val="0"/>
                <w:numId w:val="1"/>
              </w:numPr>
              <w:spacing w:after="60" w:line="264"/>
            </w:pPr>
            <w:r>
              <w:rPr>
                <w:rFonts w:ascii="Calibri" w:cs="Calibri" w:eastAsia="Calibri" w:hAnsi="Calibri"/>
                <w:sz w:val="20"/>
                <w:szCs w:val="20"/>
              </w:rPr>
              <w:t xml:space="preserve">Note: The 7 Playwright/Pytest test cases and their assertions were implemented, but execution pass/fail results were not included in the provided material and are Not Evidenced.</w:t>
            </w:r>
          </w:p>
          <w:p>
            <w:pPr>
              <w:spacing w:after="20" w:before="100"/>
            </w:pPr>
            <w:r>
              <w:rPr>
                <w:rFonts w:ascii="Calibri" w:cs="Calibri" w:eastAsia="Calibri" w:hAnsi="Calibri"/>
                <w:b/>
                <w:bCs/>
                <w:sz w:val="20"/>
                <w:szCs w:val="20"/>
              </w:rPr>
              <w:t xml:space="preserve">Daily Report Link:</w:t>
            </w:r>
          </w:p>
          <w:p>
            <w:pPr>
              <w:spacing w:after="20" w:before="100"/>
            </w:pPr>
            <w:r>
              <w:rPr>
                <w:rFonts w:ascii="Calibri" w:cs="Calibri" w:eastAsia="Calibri" w:hAnsi="Calibri"/>
                <w:sz w:val="20"/>
                <w:szCs w:val="20"/>
              </w:rPr>
              <w:t xml:space="preserve">Not Provided</w:t>
            </w:r>
          </w:p>
        </w:tc>
        <w:tc>
          <w:tcPr>
            <w:tcW w:type="dxa" w:w="1000"/>
            <w:tcMar>
              <w:top w:type="dxa" w:w="100"/>
              <w:left w:type="dxa" w:w="100"/>
              <w:bottom w:type="dxa" w:w="100"/>
              <w:right w:type="dxa" w:w="100"/>
            </w:tcMar>
            <w:vAlign w:val="top"/>
          </w:tcPr>
          <w:p>
            <w:r>
              <w:rPr>
                <w:rFonts w:ascii="Calibri" w:cs="Calibri" w:eastAsia="Calibri" w:hAnsi="Calibri"/>
                <w:sz w:val="20"/>
                <w:szCs w:val="20"/>
              </w:rPr>
              <w:t xml:space="preserve">Not Provided</w:t>
            </w:r>
          </w:p>
        </w:tc>
        <w:tc>
          <w:tcPr>
            <w:tcW w:type="dxa" w:w="1390"/>
            <w:tcMar>
              <w:top w:type="dxa" w:w="100"/>
              <w:left w:type="dxa" w:w="100"/>
              <w:bottom w:type="dxa" w:w="100"/>
              <w:right w:type="dxa" w:w="100"/>
            </w:tcMar>
            <w:vAlign w:val="top"/>
          </w:tcPr>
          <w:p>
            <w:r>
              <w:rPr>
                <w:rFonts w:ascii="Calibri" w:cs="Calibri" w:eastAsia="Calibri" w:hAnsi="Calibri"/>
                <w:sz w:val="20"/>
                <w:szCs w:val="20"/>
              </w:rPr>
              <w:t xml:space="preserve">Completed</w:t>
            </w:r>
          </w:p>
        </w:tc>
      </w:tr>
    </w:tbl>
    <w:p>
      <w:pPr>
        <w:spacing w:after="160" w:line="276"/>
      </w:pPr>
      <w:r>
        <w:rPr>
          <w:rFonts w:ascii="Calibri" w:cs="Calibri" w:eastAsia="Calibri" w:hAnsi="Calibri"/>
          <w:sz w:val="22"/>
          <w:szCs w:val="22"/>
        </w:rPr>
        <w:t xml:space="preserve"/>
      </w:r>
    </w:p>
    <w:p>
      <w:pPr>
        <w:pStyle w:val="Heading1"/>
        <w:spacing w:after="150" w:before="300"/>
      </w:pPr>
      <w:r>
        <w:rPr>
          <w:rFonts w:ascii="Calibri" w:cs="Calibri" w:eastAsia="Calibri" w:hAnsi="Calibri"/>
          <w:b/>
          <w:bCs/>
          <w:sz w:val="26"/>
          <w:szCs w:val="26"/>
        </w:rPr>
        <w:t xml:space="preserve">Outcomes:</w:t>
      </w:r>
    </w:p>
    <w:p>
      <w:pPr>
        <w:spacing w:after="160" w:line="276"/>
      </w:pPr>
      <w:r>
        <w:rPr>
          <w:rFonts w:ascii="Calibri" w:cs="Calibri" w:eastAsia="Calibri" w:hAnsi="Calibri"/>
          <w:sz w:val="22"/>
          <w:szCs w:val="22"/>
        </w:rPr>
        <w:t xml:space="preserve">During Week 5, the internship moved into automation-focused development, building on the Python, Playwright, and Git foundations introduced in Week 4. The week began with Python OOP concepts (classes, inheritance, polymorphism, encapsulation, abstraction, exception handling) applied to test automation design, alongside Git branching, merging, and conflict resolution for collaborative development. This was followed by Pytest-based automated testing of a user purchasing module, covering assertions, parameterization, fixtures, markers, and an initial Allure report. The week then advanced into richer Allure reporting — features, stories, titles, severity levels, steps, behaviors, suites, and trends — applied to the same test suite to make results more structured and readable. Day 4 introduced test monitoring through KPIs such as Pass Rate, Defect Density, and Test Coverage, alongside Python logging, log levels, and log files for root-cause analysis, along with a broader set of 20 QA metrics. The week concluded with Playwright and Pytest automation of the DemoQA Registration and Login modules (7 test cases covering positive and negative scenarios), Allure-based organization of those tests, Python dependency management with requirements.txt, and a full revision of the week's OOP, Git, Allure, metrics, and logging topics.</w:t>
      </w:r>
    </w:p>
    <w:p>
      <w:pPr>
        <w:pStyle w:val="Heading1"/>
        <w:spacing w:after="150" w:before="300"/>
      </w:pPr>
      <w:r>
        <w:rPr>
          <w:rFonts w:ascii="Calibri" w:cs="Calibri" w:eastAsia="Calibri" w:hAnsi="Calibri"/>
          <w:b/>
          <w:bCs/>
          <w:sz w:val="26"/>
          <w:szCs w:val="26"/>
        </w:rPr>
        <w:t xml:space="preserve">Conclusions:</w:t>
      </w:r>
    </w:p>
    <w:p>
      <w:pPr>
        <w:spacing w:after="160" w:line="276"/>
      </w:pPr>
      <w:r>
        <w:rPr>
          <w:rFonts w:ascii="Calibri" w:cs="Calibri" w:eastAsia="Calibri" w:hAnsi="Calibri"/>
          <w:sz w:val="22"/>
          <w:szCs w:val="22"/>
        </w:rPr>
        <w:t xml:space="preserve">Week 5 marked a significant step from manual and SQL-based testing toward structured test automation. The progression from Python OOP and Git collaboration workflows, through Pytest test design and increasingly detailed Allure reporting, to test monitoring metrics and logging, and finally to a practical Playwright/Pytest/Allure automation suite for DemoQA's Login and Registration modules, demonstrated how these concepts combine into a complete automation and reporting workflow. The consistent reuse of the user-purchasing module and the DemoQA application across the week reinforced how the same test suite can be progressively enhanced with better organization, metadata, and monitoring. One gap noted in the available notes is that execution pass/fail results for the Week 5 Day 5 Playwright test suite were not provided, so this has been marked accordingly. Overall, Week 5 built a strong foundation in Python-based test automation, reporting, and quality monitoring for the weeks ahead.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2026-10-06T12:29:49.480Z</dcterms:created>
  <dcterms:modified xsi:type="dcterms:W3CDTF">2026-10-06T12:29:49.486Z</dcterms:modified>
</cp:coreProperties>
</file>

<file path=docProps/custom.xml><?xml version="1.0" encoding="utf-8"?>
<Properties xmlns="http://schemas.openxmlformats.org/officeDocument/2006/custom-properties" xmlns:vt="http://schemas.openxmlformats.org/officeDocument/2006/docPropsVTypes"/>
</file>