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Calibri" w:cs="Calibri" w:eastAsia="Calibri" w:hAnsi="Calibri"/>
          <w:b/>
          <w:bCs/>
          <w:sz w:val="28"/>
          <w:szCs w:val="28"/>
        </w:rPr>
        <w:t xml:space="preserve">Internship Weekly Report</w:t>
      </w:r>
    </w:p>
    <w:p>
      <w:pPr>
        <w:spacing w:after="20"/>
      </w:pPr>
      <w:r>
        <w:rPr>
          <w:rFonts w:ascii="Calibri" w:cs="Calibri" w:eastAsia="Calibri" w:hAnsi="Calibri"/>
          <w:sz w:val="22"/>
          <w:szCs w:val="22"/>
        </w:rPr>
        <w:t xml:space="preserve">Shekhar Singh Rawal</w:t>
      </w:r>
    </w:p>
    <w:p>
      <w:pPr>
        <w:spacing w:after="260"/>
      </w:pPr>
      <w:r>
        <w:rPr>
          <w:rFonts w:ascii="Calibri" w:cs="Calibri" w:eastAsia="Calibri" w:hAnsi="Calibri"/>
          <w:sz w:val="22"/>
          <w:szCs w:val="22"/>
        </w:rPr>
        <w:t xml:space="preserve">September 22, 2026 to September 29, 2026 (Week 4)</w:t>
      </w:r>
    </w:p>
    <w:p>
      <w:pPr>
        <w:spacing w:after="160" w:line="276"/>
      </w:pPr>
      <w:r>
        <w:rPr>
          <w:rFonts w:ascii="Calibri" w:cs="Calibri" w:eastAsia="Calibri" w:hAnsi="Calibri"/>
          <w:i/>
          <w:iCs/>
          <w:sz w:val="22"/>
          <w:szCs w:val="22"/>
        </w:rPr>
        <w:t xml:space="preserve">Note: Only four daily reports (Day 1–Day 4) were provided for Week 4, so this report covers those four days. Day 3's date was not stated in its source notes. No Day 5 report was provided.</w:t>
      </w:r>
    </w:p>
    <w:p>
      <w:pPr>
        <w:spacing w:after="160" w:line="276"/>
      </w:pPr>
      <w:r>
        <w:rPr>
          <w:rFonts w:ascii="Calibri" w:cs="Calibri" w:eastAsia="Calibri" w:hAnsi="Calibri"/>
          <w:b/>
          <w:bCs/>
          <w:sz w:val="22"/>
          <w:szCs w:val="22"/>
        </w:rPr>
        <w:t xml:space="preserve">Assignments and Status: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50"/>
        <w:gridCol w:w="6300"/>
        <w:gridCol w:w="1000"/>
        <w:gridCol w:w="1390"/>
      </w:tblGrid>
      <w:tr>
        <w:trPr>
          <w:tblHeader/>
        </w:trPr>
        <w:tc>
          <w:tcPr>
            <w:tcW w:type="dxa" w:w="950"/>
            <w:shd w:fill="D9D9D9" w:val="clear"/>
            <w:tcMar>
              <w:top w:type="dxa" w:w="80"/>
              <w:left w:type="dxa" w:w="100"/>
              <w:bottom w:type="dxa" w:w="80"/>
              <w:right w:type="dxa" w:w="100"/>
            </w:tcMar>
            <w:vAlign w:val="center"/>
          </w:tcPr>
          <w:p>
            <w:r>
              <w:rPr>
                <w:rFonts w:ascii="Calibri" w:cs="Calibri" w:eastAsia="Calibri" w:hAnsi="Calibri"/>
                <w:b/>
                <w:bCs/>
                <w:sz w:val="20"/>
                <w:szCs w:val="20"/>
              </w:rPr>
              <w:t xml:space="preserve">Date</w:t>
            </w:r>
          </w:p>
        </w:tc>
        <w:tc>
          <w:tcPr>
            <w:tcW w:type="dxa" w:w="6300"/>
            <w:shd w:fill="D9D9D9" w:val="clear"/>
            <w:tcMar>
              <w:top w:type="dxa" w:w="80"/>
              <w:left w:type="dxa" w:w="100"/>
              <w:bottom w:type="dxa" w:w="80"/>
              <w:right w:type="dxa" w:w="100"/>
            </w:tcMar>
            <w:vAlign w:val="center"/>
          </w:tcPr>
          <w:p>
            <w:r>
              <w:rPr>
                <w:rFonts w:ascii="Calibri" w:cs="Calibri" w:eastAsia="Calibri" w:hAnsi="Calibri"/>
                <w:b/>
                <w:bCs/>
                <w:sz w:val="20"/>
                <w:szCs w:val="20"/>
              </w:rPr>
              <w:t xml:space="preserve">Major Assignments</w:t>
            </w:r>
          </w:p>
        </w:tc>
        <w:tc>
          <w:tcPr>
            <w:tcW w:type="dxa" w:w="1000"/>
            <w:shd w:fill="D9D9D9" w:val="clear"/>
            <w:tcMar>
              <w:top w:type="dxa" w:w="80"/>
              <w:left w:type="dxa" w:w="100"/>
              <w:bottom w:type="dxa" w:w="80"/>
              <w:right w:type="dxa" w:w="100"/>
            </w:tcMar>
            <w:vAlign w:val="center"/>
          </w:tcPr>
          <w:p>
            <w:r>
              <w:rPr>
                <w:rFonts w:ascii="Calibri" w:cs="Calibri" w:eastAsia="Calibri" w:hAnsi="Calibri"/>
                <w:b/>
                <w:bCs/>
                <w:sz w:val="20"/>
                <w:szCs w:val="20"/>
              </w:rPr>
              <w:t xml:space="preserve">Log Hour</w:t>
            </w:r>
          </w:p>
        </w:tc>
        <w:tc>
          <w:tcPr>
            <w:tcW w:type="dxa" w:w="1390"/>
            <w:shd w:fill="D9D9D9" w:val="clear"/>
            <w:tcMar>
              <w:top w:type="dxa" w:w="80"/>
              <w:left w:type="dxa" w:w="100"/>
              <w:bottom w:type="dxa" w:w="80"/>
              <w:right w:type="dxa" w:w="100"/>
            </w:tcMar>
            <w:vAlign w:val="center"/>
          </w:tcPr>
          <w:p>
            <w:r>
              <w:rPr>
                <w:rFonts w:ascii="Calibri" w:cs="Calibri" w:eastAsia="Calibri" w:hAnsi="Calibri"/>
                <w:b/>
                <w:bCs/>
                <w:sz w:val="20"/>
                <w:szCs w:val="20"/>
              </w:rPr>
              <w:t xml:space="preserve">Status</w:t>
            </w:r>
          </w:p>
        </w:tc>
      </w:tr>
      <w:tr>
        <w:tc>
          <w:tcPr>
            <w:tcW w:type="dxa" w:w="950"/>
            <w:tcMar>
              <w:top w:type="dxa" w:w="100"/>
              <w:left w:type="dxa" w:w="100"/>
              <w:bottom w:type="dxa" w:w="100"/>
              <w:right w:type="dxa" w:w="100"/>
            </w:tcMar>
            <w:vAlign w:val="top"/>
          </w:tcPr>
          <w:p>
            <w:r>
              <w:rPr>
                <w:rFonts w:ascii="Calibri" w:cs="Calibri" w:eastAsia="Calibri" w:hAnsi="Calibri"/>
                <w:b/>
                <w:bCs/>
                <w:sz w:val="20"/>
                <w:szCs w:val="20"/>
              </w:rPr>
              <w:t xml:space="preserve">Day 1
(Sep 22, 2026)</w:t>
            </w:r>
          </w:p>
        </w:tc>
        <w:tc>
          <w:tcPr>
            <w:tcW w:type="dxa" w:w="6300"/>
            <w:tcMar>
              <w:top w:type="dxa" w:w="100"/>
              <w:left w:type="dxa" w:w="100"/>
              <w:bottom w:type="dxa" w:w="100"/>
              <w:right w:type="dxa" w:w="100"/>
            </w:tcMar>
            <w:vAlign w:val="top"/>
          </w:tcPr>
          <w:p>
            <w:pPr>
              <w:pStyle w:val="ListParagraph"/>
              <w:numPr>
                <w:ilvl w:val="0"/>
                <w:numId w:val="1"/>
              </w:numPr>
              <w:spacing w:after="60" w:line="264"/>
            </w:pPr>
            <w:r>
              <w:rPr>
                <w:rFonts w:ascii="Calibri" w:cs="Calibri" w:eastAsia="Calibri" w:hAnsi="Calibri"/>
                <w:sz w:val="20"/>
                <w:szCs w:val="20"/>
              </w:rPr>
              <w:t xml:space="preserve">Database Testing Fundamentals: Studied data correctness, data integrity, table relationships, constraints, CRUD operations, and transaction behaviour as the focus areas of database testing.</w:t>
            </w:r>
          </w:p>
          <w:p>
            <w:pPr>
              <w:pStyle w:val="ListParagraph"/>
              <w:numPr>
                <w:ilvl w:val="0"/>
                <w:numId w:val="1"/>
              </w:numPr>
              <w:spacing w:after="60" w:line="264"/>
            </w:pPr>
            <w:r>
              <w:rPr>
                <w:rFonts w:ascii="Calibri" w:cs="Calibri" w:eastAsia="Calibri" w:hAnsi="Calibri"/>
                <w:sz w:val="20"/>
                <w:szCs w:val="20"/>
              </w:rPr>
              <w:t xml:space="preserve">ACID Properties: Studied Atomicity, Consistency, Isolation, and Durability, each illustrated with a real-world transaction example (e.g., a money transfer for Atomicity).</w:t>
            </w:r>
          </w:p>
          <w:p>
            <w:pPr>
              <w:pStyle w:val="ListParagraph"/>
              <w:numPr>
                <w:ilvl w:val="0"/>
                <w:numId w:val="1"/>
              </w:numPr>
              <w:spacing w:after="60" w:line="264"/>
            </w:pPr>
            <w:r>
              <w:rPr>
                <w:rFonts w:ascii="Calibri" w:cs="Calibri" w:eastAsia="Calibri" w:hAnsi="Calibri"/>
                <w:sz w:val="20"/>
                <w:szCs w:val="20"/>
              </w:rPr>
              <w:t xml:space="preserve">DDL vs. DML: Distinguished DDL (CREATE, ALTER, DROP) for defining structures from DML (INSERT, UPDATE, DELETE, SELECT) for working with stored data.</w:t>
            </w:r>
          </w:p>
          <w:p>
            <w:pPr>
              <w:pStyle w:val="ListParagraph"/>
              <w:numPr>
                <w:ilvl w:val="0"/>
                <w:numId w:val="1"/>
              </w:numPr>
              <w:spacing w:after="60" w:line="264"/>
            </w:pPr>
            <w:r>
              <w:rPr>
                <w:rFonts w:ascii="Calibri" w:cs="Calibri" w:eastAsia="Calibri" w:hAnsi="Calibri"/>
                <w:sz w:val="20"/>
                <w:szCs w:val="20"/>
              </w:rPr>
              <w:t xml:space="preserve">Constraints &amp; Business Rules: Studied PRIMARY KEY, NOT NULL, and FOREIGN KEY, and how each enforces a corresponding business rule; briefly covered Functional vs. Non-Functional database testing.</w:t>
            </w:r>
          </w:p>
          <w:p>
            <w:pPr>
              <w:pStyle w:val="ListParagraph"/>
              <w:numPr>
                <w:ilvl w:val="0"/>
                <w:numId w:val="1"/>
              </w:numPr>
              <w:spacing w:after="60" w:line="264"/>
            </w:pPr>
            <w:r>
              <w:rPr>
                <w:rFonts w:ascii="Calibri" w:cs="Calibri" w:eastAsia="Calibri" w:hAnsi="Calibri"/>
                <w:sz w:val="20"/>
                <w:szCs w:val="20"/>
              </w:rPr>
              <w:t xml:space="preserve">Practical: Created related EMPLOYEE and DEPARTMENT tables with a foreign key relationship, inserted employee and department records, and used SELECT queries to retrieve and verify the stored data.</w:t>
            </w:r>
          </w:p>
          <w:p>
            <w:pPr>
              <w:spacing w:after="20" w:before="100"/>
            </w:pPr>
            <w:r>
              <w:rPr>
                <w:rFonts w:ascii="Calibri" w:cs="Calibri" w:eastAsia="Calibri" w:hAnsi="Calibri"/>
                <w:b/>
                <w:bCs/>
                <w:sz w:val="20"/>
                <w:szCs w:val="20"/>
              </w:rPr>
              <w:t xml:space="preserve">Daily Report Link:</w:t>
            </w:r>
          </w:p>
          <w:p>
            <w:pPr>
              <w:spacing w:after="20" w:before="100"/>
            </w:pPr>
            <w:r>
              <w:rPr>
                <w:rFonts w:ascii="Calibri" w:cs="Calibri" w:eastAsia="Calibri" w:hAnsi="Calibri"/>
                <w:sz w:val="20"/>
                <w:szCs w:val="20"/>
              </w:rPr>
              <w:t xml:space="preserve">Not Provided</w:t>
            </w:r>
          </w:p>
        </w:tc>
        <w:tc>
          <w:tcPr>
            <w:tcW w:type="dxa" w:w="1000"/>
            <w:tcMar>
              <w:top w:type="dxa" w:w="100"/>
              <w:left w:type="dxa" w:w="100"/>
              <w:bottom w:type="dxa" w:w="100"/>
              <w:right w:type="dxa" w:w="100"/>
            </w:tcMar>
            <w:vAlign w:val="top"/>
          </w:tcPr>
          <w:p>
            <w:r>
              <w:rPr>
                <w:rFonts w:ascii="Calibri" w:cs="Calibri" w:eastAsia="Calibri" w:hAnsi="Calibri"/>
                <w:sz w:val="20"/>
                <w:szCs w:val="20"/>
              </w:rPr>
              <w:t xml:space="preserve">Not Provided</w:t>
            </w:r>
          </w:p>
        </w:tc>
        <w:tc>
          <w:tcPr>
            <w:tcW w:type="dxa" w:w="1390"/>
            <w:tcMar>
              <w:top w:type="dxa" w:w="100"/>
              <w:left w:type="dxa" w:w="100"/>
              <w:bottom w:type="dxa" w:w="100"/>
              <w:right w:type="dxa" w:w="100"/>
            </w:tcMar>
            <w:vAlign w:val="top"/>
          </w:tcPr>
          <w:p>
            <w:r>
              <w:rPr>
                <w:rFonts w:ascii="Calibri" w:cs="Calibri" w:eastAsia="Calibri" w:hAnsi="Calibri"/>
                <w:sz w:val="20"/>
                <w:szCs w:val="20"/>
              </w:rPr>
              <w:t xml:space="preserve">Completed</w:t>
            </w:r>
          </w:p>
        </w:tc>
      </w:tr>
      <w:tr>
        <w:tc>
          <w:tcPr>
            <w:tcW w:type="dxa" w:w="950"/>
            <w:tcMar>
              <w:top w:type="dxa" w:w="100"/>
              <w:left w:type="dxa" w:w="100"/>
              <w:bottom w:type="dxa" w:w="100"/>
              <w:right w:type="dxa" w:w="100"/>
            </w:tcMar>
            <w:vAlign w:val="top"/>
          </w:tcPr>
          <w:p>
            <w:r>
              <w:rPr>
                <w:rFonts w:ascii="Calibri" w:cs="Calibri" w:eastAsia="Calibri" w:hAnsi="Calibri"/>
                <w:b/>
                <w:bCs/>
                <w:sz w:val="20"/>
                <w:szCs w:val="20"/>
              </w:rPr>
              <w:t xml:space="preserve">Day 2
(Sep 23, 2026)</w:t>
            </w:r>
          </w:p>
        </w:tc>
        <w:tc>
          <w:tcPr>
            <w:tcW w:type="dxa" w:w="6300"/>
            <w:tcMar>
              <w:top w:type="dxa" w:w="100"/>
              <w:left w:type="dxa" w:w="100"/>
              <w:bottom w:type="dxa" w:w="100"/>
              <w:right w:type="dxa" w:w="100"/>
            </w:tcMar>
            <w:vAlign w:val="top"/>
          </w:tcPr>
          <w:p>
            <w:pPr>
              <w:pStyle w:val="ListParagraph"/>
              <w:numPr>
                <w:ilvl w:val="0"/>
                <w:numId w:val="1"/>
              </w:numPr>
              <w:spacing w:after="60" w:line="264"/>
            </w:pPr>
            <w:r>
              <w:rPr>
                <w:rFonts w:ascii="Calibri" w:cs="Calibri" w:eastAsia="Calibri" w:hAnsi="Calibri"/>
                <w:sz w:val="20"/>
                <w:szCs w:val="20"/>
              </w:rPr>
              <w:t xml:space="preserve">Core SQL Statements: Practiced SELECT, WHERE, ORDER BY, and LIMIT for retrieving, filtering, sorting, and restricting query results.</w:t>
            </w:r>
          </w:p>
          <w:p>
            <w:pPr>
              <w:pStyle w:val="ListParagraph"/>
              <w:numPr>
                <w:ilvl w:val="0"/>
                <w:numId w:val="1"/>
              </w:numPr>
              <w:spacing w:after="60" w:line="264"/>
            </w:pPr>
            <w:r>
              <w:rPr>
                <w:rFonts w:ascii="Calibri" w:cs="Calibri" w:eastAsia="Calibri" w:hAnsi="Calibri"/>
                <w:sz w:val="20"/>
                <w:szCs w:val="20"/>
              </w:rPr>
              <w:t xml:space="preserve">Data Modification: Practiced INSERT, UPDATE, and DELETE, each connected to a QA validation scenario (new registration, data change, account deletion).</w:t>
            </w:r>
          </w:p>
          <w:p>
            <w:pPr>
              <w:pStyle w:val="ListParagraph"/>
              <w:numPr>
                <w:ilvl w:val="0"/>
                <w:numId w:val="1"/>
              </w:numPr>
              <w:spacing w:after="60" w:line="264"/>
            </w:pPr>
            <w:r>
              <w:rPr>
                <w:rFonts w:ascii="Calibri" w:cs="Calibri" w:eastAsia="Calibri" w:hAnsi="Calibri"/>
                <w:sz w:val="20"/>
                <w:szCs w:val="20"/>
              </w:rPr>
              <w:t xml:space="preserve">Keys and JOINs: Studied Primary and Foreign Keys, and how a JOIN combines related data across tables (e.g., Employee and Department).</w:t>
            </w:r>
          </w:p>
          <w:p>
            <w:pPr>
              <w:pStyle w:val="ListParagraph"/>
              <w:numPr>
                <w:ilvl w:val="0"/>
                <w:numId w:val="1"/>
              </w:numPr>
              <w:spacing w:after="60" w:line="264"/>
            </w:pPr>
            <w:r>
              <w:rPr>
                <w:rFonts w:ascii="Calibri" w:cs="Calibri" w:eastAsia="Calibri" w:hAnsi="Calibri"/>
                <w:sz w:val="20"/>
                <w:szCs w:val="20"/>
              </w:rPr>
              <w:t xml:space="preserve">Practical SQL Learning: Worked through interactive challenges and examples on W3Schools SQL (aliases, query concepts) and SQLBolt (SELECT queries, aggregate-query challenges).</w:t>
            </w:r>
          </w:p>
          <w:p>
            <w:pPr>
              <w:pStyle w:val="ListParagraph"/>
              <w:numPr>
                <w:ilvl w:val="0"/>
                <w:numId w:val="1"/>
              </w:numPr>
              <w:spacing w:after="60" w:line="264"/>
            </w:pPr>
            <w:r>
              <w:rPr>
                <w:rFonts w:ascii="Calibri" w:cs="Calibri" w:eastAsia="Calibri" w:hAnsi="Calibri"/>
                <w:sz w:val="20"/>
                <w:szCs w:val="20"/>
              </w:rPr>
              <w:t xml:space="preserve">Practical: Wrote a QA validation query (SELECT * FROM Employee WHERE name IS NULL) to check the business rule that every employee must have a name.</w:t>
            </w:r>
          </w:p>
          <w:p>
            <w:pPr>
              <w:spacing w:after="20" w:before="100"/>
            </w:pPr>
            <w:r>
              <w:rPr>
                <w:rFonts w:ascii="Calibri" w:cs="Calibri" w:eastAsia="Calibri" w:hAnsi="Calibri"/>
                <w:b/>
                <w:bCs/>
                <w:sz w:val="20"/>
                <w:szCs w:val="20"/>
              </w:rPr>
              <w:t xml:space="preserve">Daily Report Link:</w:t>
            </w:r>
          </w:p>
          <w:p>
            <w:pPr>
              <w:spacing w:after="20" w:before="100"/>
            </w:pPr>
            <w:r>
              <w:rPr>
                <w:rFonts w:ascii="Calibri" w:cs="Calibri" w:eastAsia="Calibri" w:hAnsi="Calibri"/>
                <w:sz w:val="20"/>
                <w:szCs w:val="20"/>
              </w:rPr>
              <w:t xml:space="preserve">Not Provided</w:t>
            </w:r>
          </w:p>
        </w:tc>
        <w:tc>
          <w:tcPr>
            <w:tcW w:type="dxa" w:w="1000"/>
            <w:tcMar>
              <w:top w:type="dxa" w:w="100"/>
              <w:left w:type="dxa" w:w="100"/>
              <w:bottom w:type="dxa" w:w="100"/>
              <w:right w:type="dxa" w:w="100"/>
            </w:tcMar>
            <w:vAlign w:val="top"/>
          </w:tcPr>
          <w:p>
            <w:r>
              <w:rPr>
                <w:rFonts w:ascii="Calibri" w:cs="Calibri" w:eastAsia="Calibri" w:hAnsi="Calibri"/>
                <w:sz w:val="20"/>
                <w:szCs w:val="20"/>
              </w:rPr>
              <w:t xml:space="preserve">Not Provided</w:t>
            </w:r>
          </w:p>
        </w:tc>
        <w:tc>
          <w:tcPr>
            <w:tcW w:type="dxa" w:w="1390"/>
            <w:tcMar>
              <w:top w:type="dxa" w:w="100"/>
              <w:left w:type="dxa" w:w="100"/>
              <w:bottom w:type="dxa" w:w="100"/>
              <w:right w:type="dxa" w:w="100"/>
            </w:tcMar>
            <w:vAlign w:val="top"/>
          </w:tcPr>
          <w:p>
            <w:r>
              <w:rPr>
                <w:rFonts w:ascii="Calibri" w:cs="Calibri" w:eastAsia="Calibri" w:hAnsi="Calibri"/>
                <w:sz w:val="20"/>
                <w:szCs w:val="20"/>
              </w:rPr>
              <w:t xml:space="preserve">Completed</w:t>
            </w:r>
          </w:p>
        </w:tc>
      </w:tr>
      <w:tr>
        <w:tc>
          <w:tcPr>
            <w:tcW w:type="dxa" w:w="950"/>
            <w:tcMar>
              <w:top w:type="dxa" w:w="100"/>
              <w:left w:type="dxa" w:w="100"/>
              <w:bottom w:type="dxa" w:w="100"/>
              <w:right w:type="dxa" w:w="100"/>
            </w:tcMar>
            <w:vAlign w:val="top"/>
          </w:tcPr>
          <w:p>
            <w:r>
              <w:rPr>
                <w:rFonts w:ascii="Calibri" w:cs="Calibri" w:eastAsia="Calibri" w:hAnsi="Calibri"/>
                <w:b/>
                <w:bCs/>
                <w:sz w:val="20"/>
                <w:szCs w:val="20"/>
              </w:rPr>
              <w:t xml:space="preserve">Day 3
(Date not provided in source notes)</w:t>
            </w:r>
          </w:p>
        </w:tc>
        <w:tc>
          <w:tcPr>
            <w:tcW w:type="dxa" w:w="6300"/>
            <w:tcMar>
              <w:top w:type="dxa" w:w="100"/>
              <w:left w:type="dxa" w:w="100"/>
              <w:bottom w:type="dxa" w:w="100"/>
              <w:right w:type="dxa" w:w="100"/>
            </w:tcMar>
            <w:vAlign w:val="top"/>
          </w:tcPr>
          <w:p>
            <w:pPr>
              <w:pStyle w:val="ListParagraph"/>
              <w:numPr>
                <w:ilvl w:val="0"/>
                <w:numId w:val="1"/>
              </w:numPr>
              <w:spacing w:after="60" w:line="264"/>
            </w:pPr>
            <w:r>
              <w:rPr>
                <w:rFonts w:ascii="Calibri" w:cs="Calibri" w:eastAsia="Calibri" w:hAnsi="Calibri"/>
                <w:sz w:val="20"/>
                <w:szCs w:val="20"/>
              </w:rPr>
              <w:t xml:space="preserve">Combining &amp; Grouping Data: Studied Self Join, UNION vs. UNION ALL, and GROUP BY with HAVING, including a worked example filtering department groups by average marks.</w:t>
            </w:r>
          </w:p>
          <w:p>
            <w:pPr>
              <w:pStyle w:val="ListParagraph"/>
              <w:numPr>
                <w:ilvl w:val="0"/>
                <w:numId w:val="1"/>
              </w:numPr>
              <w:spacing w:after="60" w:line="264"/>
            </w:pPr>
            <w:r>
              <w:rPr>
                <w:rFonts w:ascii="Calibri" w:cs="Calibri" w:eastAsia="Calibri" w:hAnsi="Calibri"/>
                <w:sz w:val="20"/>
                <w:szCs w:val="20"/>
              </w:rPr>
              <w:t xml:space="preserve">Subquery Operators: Studied EXISTS (at least one matching row), ANY (at least one value satisfies the condition), and ALL (every value must satisfy the condition).</w:t>
            </w:r>
          </w:p>
          <w:p>
            <w:pPr>
              <w:pStyle w:val="ListParagraph"/>
              <w:numPr>
                <w:ilvl w:val="0"/>
                <w:numId w:val="1"/>
              </w:numPr>
              <w:spacing w:after="60" w:line="264"/>
            </w:pPr>
            <w:r>
              <w:rPr>
                <w:rFonts w:ascii="Calibri" w:cs="Calibri" w:eastAsia="Calibri" w:hAnsi="Calibri"/>
                <w:sz w:val="20"/>
                <w:szCs w:val="20"/>
              </w:rPr>
              <w:t xml:space="preserve">Copying Data: Distinguished SELECT INTO (creates a new table and copies data) from INSERT INTO SELECT (copies data into an existing table).</w:t>
            </w:r>
          </w:p>
          <w:p>
            <w:pPr>
              <w:pStyle w:val="ListParagraph"/>
              <w:numPr>
                <w:ilvl w:val="0"/>
                <w:numId w:val="1"/>
              </w:numPr>
              <w:spacing w:after="60" w:line="264"/>
            </w:pPr>
            <w:r>
              <w:rPr>
                <w:rFonts w:ascii="Calibri" w:cs="Calibri" w:eastAsia="Calibri" w:hAnsi="Calibri"/>
                <w:sz w:val="20"/>
                <w:szCs w:val="20"/>
              </w:rPr>
              <w:t xml:space="preserve">Conditional/NULL Handling &amp; Comments: Studied CASE for if/else-if logic in SQL, COALESCE for replacing NULL values, and single-line/multi-line SQL comments.</w:t>
            </w:r>
          </w:p>
          <w:p>
            <w:pPr>
              <w:pStyle w:val="ListParagraph"/>
              <w:numPr>
                <w:ilvl w:val="0"/>
                <w:numId w:val="1"/>
              </w:numPr>
              <w:spacing w:after="60" w:line="264"/>
            </w:pPr>
            <w:r>
              <w:rPr>
                <w:rFonts w:ascii="Calibri" w:cs="Calibri" w:eastAsia="Calibri" w:hAnsi="Calibri"/>
                <w:sz w:val="20"/>
                <w:szCs w:val="20"/>
              </w:rPr>
              <w:t xml:space="preserve">Subqueries, CTEs &amp; Stored Procedures: Studied subqueries, Common Table Expressions defined with WITH, and stored procedures created with CREATE PROCEDURE and run with EXEC, including parameters.</w:t>
            </w:r>
          </w:p>
          <w:p>
            <w:pPr>
              <w:pStyle w:val="ListParagraph"/>
              <w:numPr>
                <w:ilvl w:val="0"/>
                <w:numId w:val="1"/>
              </w:numPr>
              <w:spacing w:after="60" w:line="264"/>
            </w:pPr>
            <w:r>
              <w:rPr>
                <w:rFonts w:ascii="Calibri" w:cs="Calibri" w:eastAsia="Calibri" w:hAnsi="Calibri"/>
                <w:sz w:val="20"/>
                <w:szCs w:val="20"/>
              </w:rPr>
              <w:t xml:space="preserve">Practical: Wrote queries on the Teacher, Depertement, and Students tables — second-highest salary, AVG/MIN/MAX aggregate functions, INNER JOIN and LEFT JOIN, GROUP BY with COUNT (students per department), and a CASE-based fee-status query returning 30 student records.</w:t>
            </w:r>
          </w:p>
          <w:p>
            <w:pPr>
              <w:spacing w:after="20" w:before="100"/>
            </w:pPr>
            <w:r>
              <w:rPr>
                <w:rFonts w:ascii="Calibri" w:cs="Calibri" w:eastAsia="Calibri" w:hAnsi="Calibri"/>
                <w:b/>
                <w:bCs/>
                <w:sz w:val="20"/>
                <w:szCs w:val="20"/>
              </w:rPr>
              <w:t xml:space="preserve">Daily Report Link:</w:t>
            </w:r>
          </w:p>
          <w:p>
            <w:pPr>
              <w:spacing w:after="20" w:before="100"/>
            </w:pPr>
            <w:r>
              <w:rPr>
                <w:rFonts w:ascii="Calibri" w:cs="Calibri" w:eastAsia="Calibri" w:hAnsi="Calibri"/>
                <w:sz w:val="20"/>
                <w:szCs w:val="20"/>
              </w:rPr>
              <w:t xml:space="preserve">Not Provided</w:t>
            </w:r>
          </w:p>
        </w:tc>
        <w:tc>
          <w:tcPr>
            <w:tcW w:type="dxa" w:w="1000"/>
            <w:tcMar>
              <w:top w:type="dxa" w:w="100"/>
              <w:left w:type="dxa" w:w="100"/>
              <w:bottom w:type="dxa" w:w="100"/>
              <w:right w:type="dxa" w:w="100"/>
            </w:tcMar>
            <w:vAlign w:val="top"/>
          </w:tcPr>
          <w:p>
            <w:r>
              <w:rPr>
                <w:rFonts w:ascii="Calibri" w:cs="Calibri" w:eastAsia="Calibri" w:hAnsi="Calibri"/>
                <w:sz w:val="20"/>
                <w:szCs w:val="20"/>
              </w:rPr>
              <w:t xml:space="preserve">Not Provided</w:t>
            </w:r>
          </w:p>
        </w:tc>
        <w:tc>
          <w:tcPr>
            <w:tcW w:type="dxa" w:w="1390"/>
            <w:tcMar>
              <w:top w:type="dxa" w:w="100"/>
              <w:left w:type="dxa" w:w="100"/>
              <w:bottom w:type="dxa" w:w="100"/>
              <w:right w:type="dxa" w:w="100"/>
            </w:tcMar>
            <w:vAlign w:val="top"/>
          </w:tcPr>
          <w:p>
            <w:r>
              <w:rPr>
                <w:rFonts w:ascii="Calibri" w:cs="Calibri" w:eastAsia="Calibri" w:hAnsi="Calibri"/>
                <w:sz w:val="20"/>
                <w:szCs w:val="20"/>
              </w:rPr>
              <w:t xml:space="preserve">Completed</w:t>
            </w:r>
          </w:p>
        </w:tc>
      </w:tr>
      <w:tr>
        <w:tc>
          <w:tcPr>
            <w:tcW w:type="dxa" w:w="950"/>
            <w:tcMar>
              <w:top w:type="dxa" w:w="100"/>
              <w:left w:type="dxa" w:w="100"/>
              <w:bottom w:type="dxa" w:w="100"/>
              <w:right w:type="dxa" w:w="100"/>
            </w:tcMar>
            <w:vAlign w:val="top"/>
          </w:tcPr>
          <w:p>
            <w:r>
              <w:rPr>
                <w:rFonts w:ascii="Calibri" w:cs="Calibri" w:eastAsia="Calibri" w:hAnsi="Calibri"/>
                <w:b/>
                <w:bCs/>
                <w:sz w:val="20"/>
                <w:szCs w:val="20"/>
              </w:rPr>
              <w:t xml:space="preserve">Day 4
(Sep 29, 2026)</w:t>
            </w:r>
          </w:p>
        </w:tc>
        <w:tc>
          <w:tcPr>
            <w:tcW w:type="dxa" w:w="6300"/>
            <w:tcMar>
              <w:top w:type="dxa" w:w="100"/>
              <w:left w:type="dxa" w:w="100"/>
              <w:bottom w:type="dxa" w:w="100"/>
              <w:right w:type="dxa" w:w="100"/>
            </w:tcMar>
            <w:vAlign w:val="top"/>
          </w:tcPr>
          <w:p>
            <w:pPr>
              <w:pStyle w:val="ListParagraph"/>
              <w:numPr>
                <w:ilvl w:val="0"/>
                <w:numId w:val="1"/>
              </w:numPr>
              <w:spacing w:after="60" w:line="264"/>
            </w:pPr>
            <w:r>
              <w:rPr>
                <w:rFonts w:ascii="Calibri" w:cs="Calibri" w:eastAsia="Calibri" w:hAnsi="Calibri"/>
                <w:sz w:val="20"/>
                <w:szCs w:val="20"/>
              </w:rPr>
              <w:t xml:space="preserve">Python Fundamentals: Studied variables, if/else, the modulo operator, nested if, for and while loops, lists, data types, and functions, with practical examples (odd/even check, an ADD function, and a loop over a list).</w:t>
            </w:r>
          </w:p>
          <w:p>
            <w:pPr>
              <w:pStyle w:val="ListParagraph"/>
              <w:numPr>
                <w:ilvl w:val="0"/>
                <w:numId w:val="1"/>
              </w:numPr>
              <w:spacing w:after="60" w:line="264"/>
            </w:pPr>
            <w:r>
              <w:rPr>
                <w:rFonts w:ascii="Calibri" w:cs="Calibri" w:eastAsia="Calibri" w:hAnsi="Calibri"/>
                <w:sz w:val="20"/>
                <w:szCs w:val="20"/>
              </w:rPr>
              <w:t xml:space="preserve">Playwright Automation: Studied browser automation basics — opening pages, navigating URLs, locating and clicking elements, entering text, reading page titles, verifying URLs, and using assertions (toBe, toContain, toBeTruthy, toHaveTitle/URL) around the Action → Expected Result → Assertion principle.</w:t>
            </w:r>
          </w:p>
          <w:p>
            <w:pPr>
              <w:pStyle w:val="ListParagraph"/>
              <w:numPr>
                <w:ilvl w:val="0"/>
                <w:numId w:val="1"/>
              </w:numPr>
              <w:spacing w:after="60" w:line="264"/>
            </w:pPr>
            <w:r>
              <w:rPr>
                <w:rFonts w:ascii="Calibri" w:cs="Calibri" w:eastAsia="Calibri" w:hAnsi="Calibri"/>
                <w:sz w:val="20"/>
                <w:szCs w:val="20"/>
              </w:rPr>
              <w:t xml:space="preserve">Git &amp; GitHub Fundamentals: Studied the core Git commands (init, status, add, commit, push, pull, clone, log), the basic Git workflow, and the purpose of a .gitignore file.</w:t>
            </w:r>
          </w:p>
          <w:p>
            <w:pPr>
              <w:pStyle w:val="ListParagraph"/>
              <w:numPr>
                <w:ilvl w:val="0"/>
                <w:numId w:val="1"/>
              </w:numPr>
              <w:spacing w:after="60" w:line="264"/>
            </w:pPr>
            <w:r>
              <w:rPr>
                <w:rFonts w:ascii="Calibri" w:cs="Calibri" w:eastAsia="Calibri" w:hAnsi="Calibri"/>
                <w:sz w:val="20"/>
                <w:szCs w:val="20"/>
              </w:rPr>
              <w:t xml:space="preserve">Practical: Wrote Playwright scripts for page-title verification, a button click, and BOID input field interaction, using CSS and XPath locators. The assignment required 10 Playwright scripts; the provided evidence shows several scripts but does not confirm all 10 were completed, and no GitHub repository link was provided, so the repository upload is Not Evidenced.</w:t>
            </w:r>
          </w:p>
          <w:p>
            <w:pPr>
              <w:spacing w:after="20" w:before="100"/>
            </w:pPr>
            <w:r>
              <w:rPr>
                <w:rFonts w:ascii="Calibri" w:cs="Calibri" w:eastAsia="Calibri" w:hAnsi="Calibri"/>
                <w:b/>
                <w:bCs/>
                <w:sz w:val="20"/>
                <w:szCs w:val="20"/>
              </w:rPr>
              <w:t xml:space="preserve">Daily Report Link:</w:t>
            </w:r>
          </w:p>
          <w:p>
            <w:pPr>
              <w:spacing w:after="20" w:before="100"/>
            </w:pPr>
            <w:r>
              <w:rPr>
                <w:rFonts w:ascii="Calibri" w:cs="Calibri" w:eastAsia="Calibri" w:hAnsi="Calibri"/>
                <w:sz w:val="20"/>
                <w:szCs w:val="20"/>
              </w:rPr>
              <w:t xml:space="preserve">Not Provided</w:t>
            </w:r>
          </w:p>
        </w:tc>
        <w:tc>
          <w:tcPr>
            <w:tcW w:type="dxa" w:w="1000"/>
            <w:tcMar>
              <w:top w:type="dxa" w:w="100"/>
              <w:left w:type="dxa" w:w="100"/>
              <w:bottom w:type="dxa" w:w="100"/>
              <w:right w:type="dxa" w:w="100"/>
            </w:tcMar>
            <w:vAlign w:val="top"/>
          </w:tcPr>
          <w:p>
            <w:r>
              <w:rPr>
                <w:rFonts w:ascii="Calibri" w:cs="Calibri" w:eastAsia="Calibri" w:hAnsi="Calibri"/>
                <w:sz w:val="20"/>
                <w:szCs w:val="20"/>
              </w:rPr>
              <w:t xml:space="preserve">Not Provided</w:t>
            </w:r>
          </w:p>
        </w:tc>
        <w:tc>
          <w:tcPr>
            <w:tcW w:type="dxa" w:w="1390"/>
            <w:tcMar>
              <w:top w:type="dxa" w:w="100"/>
              <w:left w:type="dxa" w:w="100"/>
              <w:bottom w:type="dxa" w:w="100"/>
              <w:right w:type="dxa" w:w="100"/>
            </w:tcMar>
            <w:vAlign w:val="top"/>
          </w:tcPr>
          <w:p>
            <w:r>
              <w:rPr>
                <w:rFonts w:ascii="Calibri" w:cs="Calibri" w:eastAsia="Calibri" w:hAnsi="Calibri"/>
                <w:sz w:val="20"/>
                <w:szCs w:val="20"/>
              </w:rPr>
              <w:t xml:space="preserve">Partially Completed</w:t>
            </w:r>
          </w:p>
        </w:tc>
      </w:tr>
    </w:tbl>
    <w:p>
      <w:pPr>
        <w:spacing w:after="160" w:line="276"/>
      </w:pPr>
      <w:r>
        <w:rPr>
          <w:rFonts w:ascii="Calibri" w:cs="Calibri" w:eastAsia="Calibri" w:hAnsi="Calibri"/>
          <w:sz w:val="22"/>
          <w:szCs w:val="22"/>
        </w:rPr>
        <w:t xml:space="preserve"/>
      </w:r>
    </w:p>
    <w:p>
      <w:pPr>
        <w:pStyle w:val="Heading1"/>
        <w:spacing w:after="150" w:before="300"/>
      </w:pPr>
      <w:r>
        <w:rPr>
          <w:rFonts w:ascii="Calibri" w:cs="Calibri" w:eastAsia="Calibri" w:hAnsi="Calibri"/>
          <w:b/>
          <w:bCs/>
          <w:sz w:val="26"/>
          <w:szCs w:val="26"/>
        </w:rPr>
        <w:t xml:space="preserve">Outcomes:</w:t>
      </w:r>
    </w:p>
    <w:p>
      <w:pPr>
        <w:spacing w:after="160" w:line="276"/>
      </w:pPr>
      <w:r>
        <w:rPr>
          <w:rFonts w:ascii="Calibri" w:cs="Calibri" w:eastAsia="Calibri" w:hAnsi="Calibri"/>
          <w:sz w:val="22"/>
          <w:szCs w:val="22"/>
        </w:rPr>
        <w:t xml:space="preserve">During Week 4, the internship moved from database testing fundamentals into applied SQL and an initial introduction to automation. The week began with database testing concepts — ACID properties, DDL vs. DML, and constraints as enforcers of business rules — applied through the creation of related Employee and Department tables with a foreign key relationship. This was followed by core SQL fundamentals (SELECT, WHERE, ORDER BY, LIMIT, INSERT, UPDATE, DELETE, keys, and JOINs) practiced through W3Schools and SQLBolt challenges and connected directly to QA data-validation scenarios. The week then progressed into advanced SQL and CTEs, covering Self Join, UNION/UNION ALL, GROUP BY/HAVING, EXISTS/ANY/ALL, SELECT INTO vs. INSERT INTO SELECT, CASE, COALESCE, subqueries, CTEs, and stored procedures, applied through a set of queries on the Teacher, Depertement, and Students tables. The week closed with an introduction to Python fundamentals, Playwright browser automation (navigation, locators, and assertions), and Git/GitHub version control, though the Day 4 notes indicate the 10 required Playwright scripts and the GitHub repository upload were not fully evidenced as complete.</w:t>
      </w:r>
    </w:p>
    <w:p>
      <w:pPr>
        <w:pStyle w:val="Heading1"/>
        <w:spacing w:after="150" w:before="300"/>
      </w:pPr>
      <w:r>
        <w:rPr>
          <w:rFonts w:ascii="Calibri" w:cs="Calibri" w:eastAsia="Calibri" w:hAnsi="Calibri"/>
          <w:b/>
          <w:bCs/>
          <w:sz w:val="26"/>
          <w:szCs w:val="26"/>
        </w:rPr>
        <w:t xml:space="preserve">Conclusions:</w:t>
      </w:r>
    </w:p>
    <w:p>
      <w:pPr>
        <w:spacing w:after="160" w:line="276"/>
      </w:pPr>
      <w:r>
        <w:rPr>
          <w:rFonts w:ascii="Calibri" w:cs="Calibri" w:eastAsia="Calibri" w:hAnsi="Calibri"/>
          <w:sz w:val="22"/>
          <w:szCs w:val="22"/>
        </w:rPr>
        <w:t xml:space="preserve">Week 4 built a strong database-testing and SQL foundation, moving from table design and constraints through core and advanced SQL querying, and connected this consistently to how QA can use SQL to validate backend data against business rules. The closing introduction to Python, Playwright, and Git/GitHub marks the start of a shift toward automation testing, though the available notes show this area as only partially evidenced — specifically, the full set of 10 Playwright scripts and the GitHub repository upload. Overall, the week strengthened database and SQL validation skills while laying the groundwork for automation testing to be developed further in the coming weeks.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2026-10-04T03:41:48.636Z</dcterms:created>
  <dcterms:modified xsi:type="dcterms:W3CDTF">2026-10-04T03:41:48.640Z</dcterms:modified>
</cp:coreProperties>
</file>

<file path=docProps/custom.xml><?xml version="1.0" encoding="utf-8"?>
<Properties xmlns="http://schemas.openxmlformats.org/officeDocument/2006/custom-properties" xmlns:vt="http://schemas.openxmlformats.org/officeDocument/2006/docPropsVTypes"/>
</file>