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Internship Weekly Report</w:t>
      </w:r>
    </w:p>
    <w:p>
      <w:pPr>
        <w:spacing w:after="120"/>
        <w:jc w:val="center"/>
      </w:pPr>
      <w:r>
        <w:rPr>
          <w:b/>
          <w:bCs/>
          <w:sz w:val="26"/>
          <w:szCs w:val="26"/>
        </w:rPr>
        <w:t xml:space="preserve">Shekhar Singh Rawal</w:t>
      </w:r>
    </w:p>
    <w:p>
      <w:pPr>
        <w:spacing w:after="300"/>
        <w:jc w:val="center"/>
      </w:pPr>
      <w:r>
        <w:rPr>
          <w:b/>
          <w:bCs/>
        </w:rPr>
        <w:t xml:space="preserve">From September 15, 2026 to September 21, 2026 (Week 3)</w:t>
      </w:r>
    </w:p>
    <w:p>
      <w:pPr>
        <w:spacing w:after="200"/>
      </w:pPr>
      <w:r>
        <w:rPr>
          <w:b/>
          <w:bCs/>
        </w:rPr>
        <w:t xml:space="preserve">Assignments and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900"/>
        <w:gridCol w:w="1450"/>
      </w:tblGrid>
      <w:tr>
        <w:trPr>
          <w:tblHeader/>
        </w:trPr>
        <w:tc>
          <w:tcPr>
            <w:tcW w:type="dxa" w:w="900"/>
            <w:tcBorders>
              <w:top w:val="single" w:color="999999" w:sz="4"/>
              <w:left w:val="single" w:color="999999" w:sz="4"/>
              <w:bottom w:val="single" w:color="999999" w:sz="4"/>
              <w:right w:val="single" w:color="999999" w:sz="4"/>
            </w:tcBorders>
            <w:shd w:fill="D9D9D9"/>
            <w:vAlign w:val="center"/>
          </w:tcPr>
          <w:p>
            <w:r>
              <w:rPr>
                <w:b/>
                <w:bCs/>
              </w:rPr>
              <w:t xml:space="preserve">Date</w:t>
            </w:r>
          </w:p>
        </w:tc>
        <w:tc>
          <w:tcPr>
            <w:tcW w:type="dxa" w:w="6100"/>
            <w:tcBorders>
              <w:top w:val="single" w:color="999999" w:sz="4"/>
              <w:left w:val="single" w:color="999999" w:sz="4"/>
              <w:bottom w:val="single" w:color="999999" w:sz="4"/>
              <w:right w:val="single" w:color="999999" w:sz="4"/>
            </w:tcBorders>
            <w:shd w:fill="D9D9D9"/>
            <w:vAlign w:val="center"/>
          </w:tcPr>
          <w:p>
            <w:r>
              <w:rPr>
                <w:b/>
                <w:bCs/>
              </w:rPr>
              <w:t xml:space="preserve">Major Assignments</w:t>
            </w:r>
          </w:p>
        </w:tc>
        <w:tc>
          <w:tcPr>
            <w:tcW w:type="dxa" w:w="900"/>
            <w:tcBorders>
              <w:top w:val="single" w:color="999999" w:sz="4"/>
              <w:left w:val="single" w:color="999999" w:sz="4"/>
              <w:bottom w:val="single" w:color="999999" w:sz="4"/>
              <w:right w:val="single" w:color="999999" w:sz="4"/>
            </w:tcBorders>
            <w:shd w:fill="D9D9D9"/>
            <w:vAlign w:val="center"/>
          </w:tcPr>
          <w:p>
            <w:r>
              <w:rPr>
                <w:b/>
                <w:bCs/>
              </w:rPr>
              <w:t xml:space="preserve">Log Hour</w:t>
            </w:r>
          </w:p>
        </w:tc>
        <w:tc>
          <w:tcPr>
            <w:tcW w:type="dxa" w:w="1450"/>
            <w:tcBorders>
              <w:top w:val="single" w:color="999999" w:sz="4"/>
              <w:left w:val="single" w:color="999999" w:sz="4"/>
              <w:bottom w:val="single" w:color="999999" w:sz="4"/>
              <w:right w:val="single" w:color="999999" w:sz="4"/>
            </w:tcBorders>
            <w:shd w:fill="D9D9D9"/>
            <w:vAlign w:val="center"/>
          </w:tcPr>
          <w:p>
            <w:r>
              <w:rPr>
                <w:b/>
                <w:bCs/>
              </w:rPr>
              <w:t xml:space="preserve">Status</w:t>
            </w:r>
          </w:p>
        </w:tc>
      </w:tr>
      <w:tr>
        <w:tc>
          <w:tcPr>
            <w:tcW w:type="dxa" w:w="900"/>
            <w:tcBorders>
              <w:top w:val="single" w:color="999999" w:sz="4"/>
              <w:left w:val="single" w:color="999999" w:sz="4"/>
              <w:bottom w:val="single" w:color="999999" w:sz="4"/>
              <w:right w:val="single" w:color="999999" w:sz="4"/>
            </w:tcBorders>
            <w:vAlign w:val="top"/>
          </w:tcPr>
          <w:p>
            <w:pPr>
              <w:spacing w:after="80"/>
            </w:pPr>
            <w:r>
              <w:rPr>
                <w:b/>
                <w:bCs/>
              </w:rPr>
              <w:t xml:space="preserve">Day 1</w:t>
            </w:r>
          </w:p>
        </w:tc>
        <w:tc>
          <w:tcPr>
            <w:tcW w:type="dxa" w:w="6100"/>
            <w:tcBorders>
              <w:top w:val="single" w:color="999999" w:sz="4"/>
              <w:left w:val="single" w:color="999999" w:sz="4"/>
              <w:bottom w:val="single" w:color="999999" w:sz="4"/>
              <w:right w:val="single" w:color="999999" w:sz="4"/>
            </w:tcBorders>
            <w:vAlign w:val="top"/>
          </w:tcPr>
          <w:p>
            <w:pPr>
              <w:pStyle w:val="ListParagraph"/>
              <w:numPr>
                <w:ilvl w:val="0"/>
                <w:numId w:val="1"/>
              </w:numPr>
              <w:spacing w:after="80"/>
            </w:pPr>
            <w:r>
              <w:t xml:space="preserve">Client vs. Server: Studied client-server communication and the request/response flow between browser and web server.</w:t>
            </w:r>
          </w:p>
          <w:p>
            <w:pPr>
              <w:pStyle w:val="ListParagraph"/>
              <w:numPr>
                <w:ilvl w:val="0"/>
                <w:numId w:val="1"/>
              </w:numPr>
              <w:spacing w:after="80"/>
            </w:pPr>
            <w:r>
              <w:t xml:space="preserve">URL Structure &amp; Page Load: Studied the process triggered when a URL is entered — DNS lookup, TCP three-way handshake, TLS, and the resulting HTTP request/response cycle.</w:t>
            </w:r>
          </w:p>
          <w:p>
            <w:pPr>
              <w:pStyle w:val="ListParagraph"/>
              <w:numPr>
                <w:ilvl w:val="0"/>
                <w:numId w:val="1"/>
              </w:numPr>
              <w:spacing w:after="80"/>
            </w:pPr>
            <w:r>
              <w:t xml:space="preserve">HTML, CSS &amp; JavaScript: Studied HTML as page structure, CSS selectors (ID, class, element, attribute) for styling, and JavaScript basics (variables, functions, events) for interactivity.</w:t>
            </w:r>
          </w:p>
          <w:p>
            <w:pPr>
              <w:pStyle w:val="ListParagraph"/>
              <w:numPr>
                <w:ilvl w:val="0"/>
                <w:numId w:val="1"/>
              </w:numPr>
              <w:spacing w:after="80"/>
            </w:pPr>
            <w:r>
              <w:t xml:space="preserve">DOM, CSSOM &amp; Box Model: Studied how the browser builds the DOM and CSSOM trees, and the CSS Box Model (Content → Padding → Border → Margin).</w:t>
            </w:r>
          </w:p>
          <w:p>
            <w:pPr>
              <w:pStyle w:val="ListParagraph"/>
              <w:numPr>
                <w:ilvl w:val="0"/>
                <w:numId w:val="1"/>
              </w:numPr>
              <w:spacing w:after="80"/>
            </w:pPr>
            <w:r>
              <w:t xml:space="preserve">Practical: Reviewed HTTP status-code categories (2xx-5xx) and browser DevTools concepts from a QA inspection perspective.</w:t>
            </w:r>
          </w:p>
          <w:p>
            <w:pPr>
              <w:spacing w:before="120"/>
            </w:pPr>
            <w:r>
              <w:rPr>
                <w:b/>
                <w:bCs/>
              </w:rPr>
              <w:t xml:space="preserve">Daily Report Link:</w:t>
            </w:r>
            <w:r>
              <w:t xml:space="preserve"> </w:t>
            </w:r>
            <w:r>
              <w:rPr>
                <w:u w:val="single"/>
              </w:rPr>
              <w:t xml:space="preserve">W3Day1.docx</w:t>
            </w:r>
          </w:p>
        </w:tc>
        <w:tc>
          <w:tcPr>
            <w:tcW w:type="dxa" w:w="900"/>
            <w:tcBorders>
              <w:top w:val="single" w:color="999999" w:sz="4"/>
              <w:left w:val="single" w:color="999999" w:sz="4"/>
              <w:bottom w:val="single" w:color="999999" w:sz="4"/>
              <w:right w:val="single" w:color="999999" w:sz="4"/>
            </w:tcBorders>
            <w:vAlign w:val="top"/>
          </w:tcPr>
          <w:p>
            <w:pPr>
              <w:spacing w:after="80"/>
            </w:pPr>
            <w:r>
              <w:t xml:space="preserve">-</w:t>
            </w:r>
          </w:p>
        </w:tc>
        <w:tc>
          <w:tcPr>
            <w:tcW w:type="dxa" w:w="1450"/>
            <w:tcBorders>
              <w:top w:val="single" w:color="999999" w:sz="4"/>
              <w:left w:val="single" w:color="999999" w:sz="4"/>
              <w:bottom w:val="single" w:color="999999" w:sz="4"/>
              <w:right w:val="single" w:color="999999" w:sz="4"/>
            </w:tcBorders>
            <w:vAlign w:val="top"/>
          </w:tcPr>
          <w:p>
            <w:pPr>
              <w:spacing w:after="80"/>
            </w:pPr>
            <w:r>
              <w:t xml:space="preserve">Completed</w:t>
            </w:r>
          </w:p>
        </w:tc>
      </w:tr>
      <w:tr>
        <w:tc>
          <w:tcPr>
            <w:tcW w:type="dxa" w:w="900"/>
            <w:tcBorders>
              <w:top w:val="single" w:color="999999" w:sz="4"/>
              <w:left w:val="single" w:color="999999" w:sz="4"/>
              <w:bottom w:val="single" w:color="999999" w:sz="4"/>
              <w:right w:val="single" w:color="999999" w:sz="4"/>
            </w:tcBorders>
            <w:vAlign w:val="top"/>
          </w:tcPr>
          <w:p>
            <w:pPr>
              <w:spacing w:after="80"/>
            </w:pPr>
            <w:r>
              <w:rPr>
                <w:b/>
                <w:bCs/>
              </w:rPr>
              <w:t xml:space="preserve">Day 2</w:t>
            </w:r>
          </w:p>
        </w:tc>
        <w:tc>
          <w:tcPr>
            <w:tcW w:type="dxa" w:w="6100"/>
            <w:tcBorders>
              <w:top w:val="single" w:color="999999" w:sz="4"/>
              <w:left w:val="single" w:color="999999" w:sz="4"/>
              <w:bottom w:val="single" w:color="999999" w:sz="4"/>
              <w:right w:val="single" w:color="999999" w:sz="4"/>
            </w:tcBorders>
            <w:vAlign w:val="top"/>
          </w:tcPr>
          <w:p>
            <w:pPr>
              <w:pStyle w:val="ListParagraph"/>
              <w:numPr>
                <w:ilvl w:val="0"/>
                <w:numId w:val="1"/>
              </w:numPr>
              <w:spacing w:after="80"/>
            </w:pPr>
            <w:r>
              <w:t xml:space="preserve">Static vs. Dynamic Testing: Distinguished testing performed without executing the software from testing performed by executing it.</w:t>
            </w:r>
          </w:p>
          <w:p>
            <w:pPr>
              <w:pStyle w:val="ListParagraph"/>
              <w:numPr>
                <w:ilvl w:val="0"/>
                <w:numId w:val="1"/>
              </w:numPr>
              <w:spacing w:after="80"/>
            </w:pPr>
            <w:r>
              <w:t xml:space="preserve">Software Reviews: Studied review types (Peer Review, Code Review, Pair Programming, Walkthrough, Inspection, Audit) and review roles (Moderator, Author, Scribe, Reviewer, Manager).</w:t>
            </w:r>
          </w:p>
          <w:p>
            <w:pPr>
              <w:pStyle w:val="ListParagraph"/>
              <w:numPr>
                <w:ilvl w:val="0"/>
                <w:numId w:val="1"/>
              </w:numPr>
              <w:spacing w:after="80"/>
            </w:pPr>
            <w:r>
              <w:t xml:space="preserve">UI/Usability Testing: Studied Functional, Visual, Usability, and Accessibility Testing, along with a usability checklist covering navigation, content clarity, error prevention, efficiency, and responsiveness.</w:t>
            </w:r>
          </w:p>
          <w:p>
            <w:pPr>
              <w:pStyle w:val="ListParagraph"/>
              <w:numPr>
                <w:ilvl w:val="0"/>
                <w:numId w:val="1"/>
              </w:numPr>
              <w:spacing w:after="80"/>
            </w:pPr>
            <w:r>
              <w:t xml:space="preserve">WCAG Accessibility: Studied the four WCAG principles (Perceivable, Operable, Understandable, Robust) and conformance levels A/AA/AAA.</w:t>
            </w:r>
          </w:p>
          <w:p>
            <w:pPr>
              <w:pStyle w:val="ListParagraph"/>
              <w:numPr>
                <w:ilvl w:val="0"/>
                <w:numId w:val="1"/>
              </w:numPr>
              <w:spacing w:after="80"/>
            </w:pPr>
            <w:r>
              <w:t xml:space="preserve">Practical: Reviewed the Buggy application (design checklist, identified a non-working navigation tab) and audited ParaBank, identifying five UI/UX improvement areas with business-impact justifications.</w:t>
            </w:r>
          </w:p>
          <w:p>
            <w:pPr>
              <w:spacing w:before="120"/>
            </w:pPr>
            <w:r>
              <w:rPr>
                <w:b/>
                <w:bCs/>
              </w:rPr>
              <w:t xml:space="preserve">Daily Report Link:</w:t>
            </w:r>
            <w:r>
              <w:t xml:space="preserve"> </w:t>
            </w:r>
            <w:r>
              <w:rPr>
                <w:u w:val="single"/>
              </w:rPr>
              <w:t xml:space="preserve">W3Day2.docx</w:t>
            </w:r>
          </w:p>
        </w:tc>
        <w:tc>
          <w:tcPr>
            <w:tcW w:type="dxa" w:w="900"/>
            <w:tcBorders>
              <w:top w:val="single" w:color="999999" w:sz="4"/>
              <w:left w:val="single" w:color="999999" w:sz="4"/>
              <w:bottom w:val="single" w:color="999999" w:sz="4"/>
              <w:right w:val="single" w:color="999999" w:sz="4"/>
            </w:tcBorders>
            <w:vAlign w:val="top"/>
          </w:tcPr>
          <w:p>
            <w:pPr>
              <w:spacing w:after="80"/>
            </w:pPr>
            <w:r>
              <w:t xml:space="preserve">-</w:t>
            </w:r>
          </w:p>
        </w:tc>
        <w:tc>
          <w:tcPr>
            <w:tcW w:type="dxa" w:w="1450"/>
            <w:tcBorders>
              <w:top w:val="single" w:color="999999" w:sz="4"/>
              <w:left w:val="single" w:color="999999" w:sz="4"/>
              <w:bottom w:val="single" w:color="999999" w:sz="4"/>
              <w:right w:val="single" w:color="999999" w:sz="4"/>
            </w:tcBorders>
            <w:vAlign w:val="top"/>
          </w:tcPr>
          <w:p>
            <w:pPr>
              <w:spacing w:after="80"/>
            </w:pPr>
            <w:r>
              <w:t xml:space="preserve">Completed</w:t>
            </w:r>
          </w:p>
        </w:tc>
      </w:tr>
      <w:tr>
        <w:tc>
          <w:tcPr>
            <w:tcW w:type="dxa" w:w="900"/>
            <w:tcBorders>
              <w:top w:val="single" w:color="999999" w:sz="4"/>
              <w:left w:val="single" w:color="999999" w:sz="4"/>
              <w:bottom w:val="single" w:color="999999" w:sz="4"/>
              <w:right w:val="single" w:color="999999" w:sz="4"/>
            </w:tcBorders>
            <w:vAlign w:val="top"/>
          </w:tcPr>
          <w:p>
            <w:pPr>
              <w:spacing w:after="80"/>
            </w:pPr>
            <w:r>
              <w:rPr>
                <w:b/>
                <w:bCs/>
              </w:rPr>
              <w:t xml:space="preserve">Day 3</w:t>
            </w:r>
          </w:p>
        </w:tc>
        <w:tc>
          <w:tcPr>
            <w:tcW w:type="dxa" w:w="6100"/>
            <w:tcBorders>
              <w:top w:val="single" w:color="999999" w:sz="4"/>
              <w:left w:val="single" w:color="999999" w:sz="4"/>
              <w:bottom w:val="single" w:color="999999" w:sz="4"/>
              <w:right w:val="single" w:color="999999" w:sz="4"/>
            </w:tcBorders>
            <w:vAlign w:val="top"/>
          </w:tcPr>
          <w:p>
            <w:pPr>
              <w:pStyle w:val="ListParagraph"/>
              <w:numPr>
                <w:ilvl w:val="0"/>
                <w:numId w:val="1"/>
              </w:numPr>
              <w:spacing w:after="80"/>
            </w:pPr>
            <w:r>
              <w:t xml:space="preserve">API Fundamentals: Studied APIs as the communication interface between client and server, and core REST components (endpoint, HTTP method, header, request/response body, status code).</w:t>
            </w:r>
          </w:p>
          <w:p>
            <w:pPr>
              <w:pStyle w:val="ListParagraph"/>
              <w:numPr>
                <w:ilvl w:val="0"/>
                <w:numId w:val="1"/>
              </w:numPr>
              <w:spacing w:after="80"/>
            </w:pPr>
            <w:r>
              <w:t xml:space="preserve">REST vs. SOAP: Compared REST (architectural style, HTTP/JSON) with SOAP (protocol, XML-based messaging).</w:t>
            </w:r>
          </w:p>
          <w:p>
            <w:pPr>
              <w:pStyle w:val="ListParagraph"/>
              <w:numPr>
                <w:ilvl w:val="0"/>
                <w:numId w:val="1"/>
              </w:numPr>
              <w:spacing w:after="80"/>
            </w:pPr>
            <w:r>
              <w:t xml:space="preserve">HTTP Methods &amp; Status Codes: Studied GET/POST/PUT/PATCH/DELETE and key status codes (200, 201, 204, 400, 401, 403, 404, 500) with their QA interpretation.</w:t>
            </w:r>
          </w:p>
          <w:p>
            <w:pPr>
              <w:pStyle w:val="ListParagraph"/>
              <w:numPr>
                <w:ilvl w:val="0"/>
                <w:numId w:val="1"/>
              </w:numPr>
              <w:spacing w:after="80"/>
            </w:pPr>
            <w:r>
              <w:t xml:space="preserve">Practical: Inspected API calls via the DevTools Network tab, analysed ReqRes endpoints for business rules, wrote five API test cases (API-001 to API-005) covering retrieve, create, update, and delete operations, and critiqued an AI-generated REST explanation.</w:t>
            </w:r>
          </w:p>
          <w:p>
            <w:pPr>
              <w:spacing w:before="120"/>
            </w:pPr>
            <w:r>
              <w:rPr>
                <w:b/>
                <w:bCs/>
              </w:rPr>
              <w:t xml:space="preserve">Daily Report Link:</w:t>
            </w:r>
            <w:r>
              <w:t xml:space="preserve"> </w:t>
            </w:r>
            <w:r>
              <w:rPr>
                <w:u w:val="single"/>
              </w:rPr>
              <w:t xml:space="preserve">W3Day3.docx</w:t>
            </w:r>
          </w:p>
        </w:tc>
        <w:tc>
          <w:tcPr>
            <w:tcW w:type="dxa" w:w="900"/>
            <w:tcBorders>
              <w:top w:val="single" w:color="999999" w:sz="4"/>
              <w:left w:val="single" w:color="999999" w:sz="4"/>
              <w:bottom w:val="single" w:color="999999" w:sz="4"/>
              <w:right w:val="single" w:color="999999" w:sz="4"/>
            </w:tcBorders>
            <w:vAlign w:val="top"/>
          </w:tcPr>
          <w:p>
            <w:pPr>
              <w:spacing w:after="80"/>
            </w:pPr>
            <w:r>
              <w:t xml:space="preserve">-</w:t>
            </w:r>
          </w:p>
        </w:tc>
        <w:tc>
          <w:tcPr>
            <w:tcW w:type="dxa" w:w="1450"/>
            <w:tcBorders>
              <w:top w:val="single" w:color="999999" w:sz="4"/>
              <w:left w:val="single" w:color="999999" w:sz="4"/>
              <w:bottom w:val="single" w:color="999999" w:sz="4"/>
              <w:right w:val="single" w:color="999999" w:sz="4"/>
            </w:tcBorders>
            <w:vAlign w:val="top"/>
          </w:tcPr>
          <w:p>
            <w:pPr>
              <w:spacing w:after="80"/>
            </w:pPr>
            <w:r>
              <w:t xml:space="preserve">Completed</w:t>
            </w:r>
          </w:p>
        </w:tc>
      </w:tr>
      <w:tr>
        <w:tc>
          <w:tcPr>
            <w:tcW w:type="dxa" w:w="900"/>
            <w:tcBorders>
              <w:top w:val="single" w:color="999999" w:sz="4"/>
              <w:left w:val="single" w:color="999999" w:sz="4"/>
              <w:bottom w:val="single" w:color="999999" w:sz="4"/>
              <w:right w:val="single" w:color="999999" w:sz="4"/>
            </w:tcBorders>
            <w:vAlign w:val="top"/>
          </w:tcPr>
          <w:p>
            <w:pPr>
              <w:spacing w:after="80"/>
            </w:pPr>
            <w:r>
              <w:rPr>
                <w:b/>
                <w:bCs/>
              </w:rPr>
              <w:t xml:space="preserve">Day 4</w:t>
            </w:r>
          </w:p>
        </w:tc>
        <w:tc>
          <w:tcPr>
            <w:tcW w:type="dxa" w:w="6100"/>
            <w:tcBorders>
              <w:top w:val="single" w:color="999999" w:sz="4"/>
              <w:left w:val="single" w:color="999999" w:sz="4"/>
              <w:bottom w:val="single" w:color="999999" w:sz="4"/>
              <w:right w:val="single" w:color="999999" w:sz="4"/>
            </w:tcBorders>
            <w:vAlign w:val="top"/>
          </w:tcPr>
          <w:p>
            <w:pPr>
              <w:pStyle w:val="ListParagraph"/>
              <w:numPr>
                <w:ilvl w:val="0"/>
                <w:numId w:val="1"/>
              </w:numPr>
              <w:spacing w:after="80"/>
            </w:pPr>
            <w:r>
              <w:t xml:space="preserve">Postman: Studied Postman as an API testing tool and the structure of a request (Method → URL/Endpoint → Headers → Body → Send → Response).</w:t>
            </w:r>
          </w:p>
          <w:p>
            <w:pPr>
              <w:pStyle w:val="ListParagraph"/>
              <w:numPr>
                <w:ilvl w:val="0"/>
                <w:numId w:val="1"/>
              </w:numPr>
              <w:spacing w:after="80"/>
            </w:pPr>
            <w:r>
              <w:t xml:space="preserve">Headers &amp; Request Body: Studied Content-Type, Authorization, and Accept headers, and request-body usage for POST, PUT, and PATCH requests.</w:t>
            </w:r>
          </w:p>
          <w:p>
            <w:pPr>
              <w:pStyle w:val="ListParagraph"/>
              <w:numPr>
                <w:ilvl w:val="0"/>
                <w:numId w:val="1"/>
              </w:numPr>
              <w:spacing w:after="80"/>
            </w:pPr>
            <w:r>
              <w:t xml:space="preserve">Response &amp; Status Codes: Studied response components (status code, headers, body, response time) and expected status codes for common requests.</w:t>
            </w:r>
          </w:p>
          <w:p>
            <w:pPr>
              <w:pStyle w:val="ListParagraph"/>
              <w:numPr>
                <w:ilvl w:val="0"/>
                <w:numId w:val="1"/>
              </w:numPr>
              <w:spacing w:after="80"/>
            </w:pPr>
            <w:r>
              <w:t xml:space="preserve">Practical: Completed the Week 3 mock test and delivered a presentation reviewing web fundamentals, static testing, UI/UX &amp; accessibility, API fundamentals, REST/HTTP methods, and Postman.</w:t>
            </w:r>
          </w:p>
          <w:p>
            <w:pPr>
              <w:spacing w:before="120"/>
            </w:pPr>
            <w:r>
              <w:rPr>
                <w:b/>
                <w:bCs/>
              </w:rPr>
              <w:t xml:space="preserve">Daily Report Link:</w:t>
            </w:r>
            <w:r>
              <w:t xml:space="preserve"> </w:t>
            </w:r>
            <w:r>
              <w:rPr>
                <w:u w:val="single"/>
              </w:rPr>
              <w:t xml:space="preserve">W3Day4.docx</w:t>
            </w:r>
          </w:p>
        </w:tc>
        <w:tc>
          <w:tcPr>
            <w:tcW w:type="dxa" w:w="900"/>
            <w:tcBorders>
              <w:top w:val="single" w:color="999999" w:sz="4"/>
              <w:left w:val="single" w:color="999999" w:sz="4"/>
              <w:bottom w:val="single" w:color="999999" w:sz="4"/>
              <w:right w:val="single" w:color="999999" w:sz="4"/>
            </w:tcBorders>
            <w:vAlign w:val="top"/>
          </w:tcPr>
          <w:p>
            <w:pPr>
              <w:spacing w:after="80"/>
            </w:pPr>
            <w:r>
              <w:t xml:space="preserve">-</w:t>
            </w:r>
          </w:p>
        </w:tc>
        <w:tc>
          <w:tcPr>
            <w:tcW w:type="dxa" w:w="1450"/>
            <w:tcBorders>
              <w:top w:val="single" w:color="999999" w:sz="4"/>
              <w:left w:val="single" w:color="999999" w:sz="4"/>
              <w:bottom w:val="single" w:color="999999" w:sz="4"/>
              <w:right w:val="single" w:color="999999" w:sz="4"/>
            </w:tcBorders>
            <w:vAlign w:val="top"/>
          </w:tcPr>
          <w:p>
            <w:pPr>
              <w:spacing w:after="80"/>
            </w:pPr>
            <w:r>
              <w:t xml:space="preserve">Completed</w:t>
            </w:r>
          </w:p>
        </w:tc>
      </w:tr>
      <w:tr>
        <w:tc>
          <w:tcPr>
            <w:tcW w:type="dxa" w:w="900"/>
            <w:tcBorders>
              <w:top w:val="single" w:color="999999" w:sz="4"/>
              <w:left w:val="single" w:color="999999" w:sz="4"/>
              <w:bottom w:val="single" w:color="999999" w:sz="4"/>
              <w:right w:val="single" w:color="999999" w:sz="4"/>
            </w:tcBorders>
            <w:vAlign w:val="top"/>
          </w:tcPr>
          <w:p>
            <w:pPr>
              <w:spacing w:after="80"/>
            </w:pPr>
            <w:r>
              <w:rPr>
                <w:b/>
                <w:bCs/>
              </w:rPr>
              <w:t xml:space="preserve">Day 5</w:t>
            </w:r>
          </w:p>
        </w:tc>
        <w:tc>
          <w:tcPr>
            <w:tcW w:type="dxa" w:w="6100"/>
            <w:tcBorders>
              <w:top w:val="single" w:color="999999" w:sz="4"/>
              <w:left w:val="single" w:color="999999" w:sz="4"/>
              <w:bottom w:val="single" w:color="999999" w:sz="4"/>
              <w:right w:val="single" w:color="999999" w:sz="4"/>
            </w:tcBorders>
            <w:vAlign w:val="top"/>
          </w:tcPr>
          <w:p>
            <w:pPr>
              <w:pStyle w:val="ListParagraph"/>
              <w:numPr>
                <w:ilvl w:val="0"/>
                <w:numId w:val="1"/>
              </w:numPr>
              <w:spacing w:after="80"/>
            </w:pPr>
            <w:r>
              <w:t xml:space="preserve">Revision: Revised API testing fundamentals, test case design approaches (positive, negative, boundary/edge, data-driven), the standard test case structure, tunneling, key HTTP status codes, stateless vs. stateful behaviour, and HTTP header elements.</w:t>
            </w:r>
          </w:p>
          <w:p>
            <w:pPr>
              <w:pStyle w:val="ListParagraph"/>
              <w:numPr>
                <w:ilvl w:val="0"/>
                <w:numId w:val="1"/>
              </w:numPr>
              <w:spacing w:after="80"/>
            </w:pPr>
            <w:r>
              <w:t xml:space="preserve">Practical: Applied the revised concepts to write four positive and negative test cases (TC-01 to TC-04) for the Add to Cart functionality on the QA enrollment platform (qa-enroll.corenroll.com), covering valid data, an invalid enrollment_id, an invalid/mismatched plan_id and plan_pricing_id, and a missing/invalid Authorization header.</w:t>
            </w:r>
          </w:p>
          <w:p>
            <w:pPr>
              <w:spacing w:before="120"/>
            </w:pPr>
            <w:r>
              <w:rPr>
                <w:b/>
                <w:bCs/>
              </w:rPr>
              <w:t xml:space="preserve">Daily Report Link:</w:t>
            </w:r>
            <w:r>
              <w:t xml:space="preserve"> </w:t>
            </w:r>
            <w:r>
              <w:rPr>
                <w:u w:val="single"/>
              </w:rPr>
              <w:t xml:space="preserve">W3Day5.docx</w:t>
            </w:r>
          </w:p>
        </w:tc>
        <w:tc>
          <w:tcPr>
            <w:tcW w:type="dxa" w:w="900"/>
            <w:tcBorders>
              <w:top w:val="single" w:color="999999" w:sz="4"/>
              <w:left w:val="single" w:color="999999" w:sz="4"/>
              <w:bottom w:val="single" w:color="999999" w:sz="4"/>
              <w:right w:val="single" w:color="999999" w:sz="4"/>
            </w:tcBorders>
            <w:vAlign w:val="top"/>
          </w:tcPr>
          <w:p>
            <w:pPr>
              <w:spacing w:after="80"/>
            </w:pPr>
            <w:r>
              <w:t xml:space="preserve">-</w:t>
            </w:r>
          </w:p>
        </w:tc>
        <w:tc>
          <w:tcPr>
            <w:tcW w:type="dxa" w:w="1450"/>
            <w:tcBorders>
              <w:top w:val="single" w:color="999999" w:sz="4"/>
              <w:left w:val="single" w:color="999999" w:sz="4"/>
              <w:bottom w:val="single" w:color="999999" w:sz="4"/>
              <w:right w:val="single" w:color="999999" w:sz="4"/>
            </w:tcBorders>
            <w:vAlign w:val="top"/>
          </w:tcPr>
          <w:p>
            <w:pPr>
              <w:spacing w:after="80"/>
            </w:pPr>
            <w:r>
              <w:t xml:space="preserve">Completed</w:t>
            </w:r>
          </w:p>
        </w:tc>
      </w:tr>
    </w:tbl>
    <w:p>
      <w:pPr>
        <w:pStyle w:val="Heading1"/>
        <w:spacing w:after="120" w:before="300"/>
      </w:pPr>
      <w:r>
        <w:t xml:space="preserve">Outcomes:</w:t>
      </w:r>
    </w:p>
    <w:p>
      <w:pPr>
        <w:spacing w:after="200"/>
      </w:pPr>
      <w:r>
        <w:t xml:space="preserve">During Week 3, the internship shifted from manual test-design foundations into the technical underpinnings of web applications and API testing. The week began with web fundamentals and browser architecture, covering client-server communication, the full URL-to-page-load process (DNS, TCP handshake, TLS, HTTP), HTML/CSS/JavaScript, DOM/CSSOM, and the CSS Box Model, studied from a QA inspection perspective using browser DevTools. This was followed by static testing and UI/UX work, covering software review types and roles, the review process, UI testing categories, usability checklists, and WCAG accessibility principles, applied through a structured review of the Buggy application and a UI/UX audit of ParaBank. The week then moved into API fundamentals and REST vs. SOAP concepts, HTTP methods, and status codes, applied through Network-tab inspection, ReqRes endpoint/business-rule analysis, and five API test cases. This progressed into hands-on API testing with Postman, covering request structure, headers, and request bodies, alongside the Week 3 mock test and presentation. The week concluded with a revision of API testing fundamentals and test case design, applied practically by writing positive and negative test cases for the Add to Cart functionality on the QA enrollment platform.</w:t>
      </w:r>
    </w:p>
    <w:p>
      <w:pPr>
        <w:pStyle w:val="Heading1"/>
        <w:spacing w:after="120" w:before="120"/>
      </w:pPr>
      <w:r>
        <w:t xml:space="preserve">Conclusions:</w:t>
      </w:r>
    </w:p>
    <w:p>
      <w:r>
        <w:t xml:space="preserve">Week 3 built on the manual testing foundation from Week 1 and the test-design techniques from Week 2 by introducing the technical layer beneath the applications under test — how browsers load pages, how the client and server communicate, and how APIs expose business logic. The progression from web fundamentals and browser architecture, through static testing and UI/UX/accessibility review, to REST API concepts, Postman-based practical testing, and a closing revision with hands-on cart API test case creation gave a practical view of how QA engineers inspect, review, and test both the frontend and backend of an application. The consistent use of real applications and APIs — Buggy, ParaBank, ReqRes, and the QA enrollment platform — as running examples reinforced how these concepts translate into concrete, reviewable test artifacts. The closing revision and Add to Cart test case exercise consolidated the week's learning and prepared the foundation for more advanced API testing topics in the coming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2026-09-21T13:34:06.053Z</dcterms:created>
  <dcterms:modified xsi:type="dcterms:W3CDTF">2026-09-21T13:34:06.062Z</dcterms:modified>
</cp:coreProperties>
</file>

<file path=docProps/custom.xml><?xml version="1.0" encoding="utf-8"?>
<Properties xmlns="http://schemas.openxmlformats.org/officeDocument/2006/custom-properties" xmlns:vt="http://schemas.openxmlformats.org/officeDocument/2006/docPropsVTypes"/>
</file>