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Greenfield School Waste Guide</w:t>
      </w:r>
    </w:p>
    <w:p>
      <w:r>
        <w:t>This is invented sample material for learning and software testing. It is not real waste-management evidence.</w:t>
      </w:r>
    </w:p>
    <w:p>
      <w:r>
        <w:t>The fictional school has 20 classrooms. Twelve classrooms have labelled sorting bins; eight do not.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detail</w:t>
            </w:r>
          </w:p>
        </w:tc>
        <w:tc>
          <w:tcPr>
            <w:tcW w:type="dxa" w:w="4320"/>
          </w:tcPr>
          <w:p>
            <w:r>
              <w:t>Fictional finding or instruction</w:t>
            </w:r>
          </w:p>
        </w:tc>
      </w:tr>
      <w:tr>
        <w:tc>
          <w:tcPr>
            <w:tcW w:type="dxa" w:w="4320"/>
          </w:tcPr>
          <w:p>
            <w:r>
              <w:t>Sorting labels</w:t>
            </w:r>
          </w:p>
        </w:tc>
        <w:tc>
          <w:tcPr>
            <w:tcW w:type="dxa" w:w="4320"/>
          </w:tcPr>
          <w:p>
            <w:r>
              <w:t>Read the displayed sorting label before putting an item into a bin.</w:t>
            </w:r>
          </w:p>
        </w:tc>
      </w:tr>
      <w:tr>
        <w:tc>
          <w:tcPr>
            <w:tcW w:type="dxa" w:w="4320"/>
          </w:tcPr>
          <w:p>
            <w:r>
              <w:t>Missing labels</w:t>
            </w:r>
          </w:p>
        </w:tc>
        <w:tc>
          <w:tcPr>
            <w:tcW w:type="dxa" w:w="4320"/>
          </w:tcPr>
          <w:p>
            <w:r>
              <w:t>The school office supplies replacement labels to classroom monitors.</w:t>
            </w:r>
          </w:p>
        </w:tc>
      </w:tr>
      <w:tr>
        <w:tc>
          <w:tcPr>
            <w:tcW w:type="dxa" w:w="4320"/>
          </w:tcPr>
          <w:p>
            <w:r>
              <w:t>Collection information</w:t>
            </w:r>
          </w:p>
        </w:tc>
        <w:tc>
          <w:tcPr>
            <w:tcW w:type="dxa" w:w="4320"/>
          </w:tcPr>
          <w:p>
            <w:r>
              <w:t>Collection information appears on the school noticeboard.</w:t>
            </w:r>
          </w:p>
        </w:tc>
      </w:tr>
      <w:tr>
        <w:tc>
          <w:tcPr>
            <w:tcW w:type="dxa" w:w="4320"/>
          </w:tcPr>
          <w:p>
            <w:r>
              <w:t>Uncertain items</w:t>
            </w:r>
          </w:p>
        </w:tc>
        <w:tc>
          <w:tcPr>
            <w:tcW w:type="dxa" w:w="4320"/>
          </w:tcPr>
          <w:p>
            <w:r>
              <w:t>Students ask a classroom monitor when the displayed instructions do not identify an item.</w:t>
            </w:r>
          </w:p>
        </w:tc>
      </w:tr>
      <w:tr>
        <w:tc>
          <w:tcPr>
            <w:tcW w:type="dxa" w:w="4320"/>
          </w:tcPr>
          <w:p>
            <w:r>
              <w:t>Canteen</w:t>
            </w:r>
          </w:p>
        </w:tc>
        <w:tc>
          <w:tcPr>
            <w:tcW w:type="dxa" w:w="4320"/>
          </w:tcPr>
          <w:p>
            <w:r>
              <w:t>The canteen displays a sorting guide beside its exit.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Classroom monitors record missing or damaged labels each Friday.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