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EB" w:rsidRPr="00055C39" w:rsidRDefault="0019269D">
      <w:pPr>
        <w:rPr>
          <w:rFonts w:ascii="Arial" w:hAnsi="Arial" w:cs="Arial"/>
          <w:b/>
          <w:bCs/>
          <w:color w:val="0D0D0D" w:themeColor="text1" w:themeTint="F2"/>
          <w:sz w:val="28"/>
          <w:szCs w:val="28"/>
          <w:shd w:val="clear" w:color="auto" w:fill="FFFFFF"/>
        </w:rPr>
      </w:pPr>
      <w:r w:rsidRPr="0019269D">
        <w:rPr>
          <w:rFonts w:ascii="Arial" w:hAnsi="Arial" w:cs="Arial"/>
          <w:b/>
          <w:bCs/>
          <w:color w:val="0D0D0D" w:themeColor="text1" w:themeTint="F2"/>
          <w:sz w:val="28"/>
          <w:szCs w:val="28"/>
          <w:shd w:val="clear" w:color="auto" w:fill="FFFFFF"/>
        </w:rPr>
        <w:t xml:space="preserve">Типы данных и объекты СУБД </w:t>
      </w:r>
      <w:proofErr w:type="spellStart"/>
      <w:r w:rsidRPr="0019269D">
        <w:rPr>
          <w:rFonts w:ascii="Arial" w:hAnsi="Arial" w:cs="Arial"/>
          <w:b/>
          <w:bCs/>
          <w:color w:val="0D0D0D" w:themeColor="text1" w:themeTint="F2"/>
          <w:sz w:val="28"/>
          <w:szCs w:val="28"/>
          <w:shd w:val="clear" w:color="auto" w:fill="FFFFFF"/>
        </w:rPr>
        <w:t>Access</w:t>
      </w:r>
      <w:proofErr w:type="spellEnd"/>
    </w:p>
    <w:tbl>
      <w:tblPr>
        <w:tblStyle w:val="a3"/>
        <w:tblW w:w="0" w:type="auto"/>
        <w:tblLook w:val="04A0"/>
      </w:tblPr>
      <w:tblGrid>
        <w:gridCol w:w="801"/>
        <w:gridCol w:w="3135"/>
        <w:gridCol w:w="5635"/>
      </w:tblGrid>
      <w:tr w:rsidR="0019269D" w:rsidRPr="0019269D" w:rsidTr="0019269D">
        <w:tc>
          <w:tcPr>
            <w:tcW w:w="801" w:type="dxa"/>
          </w:tcPr>
          <w:p w:rsidR="0019269D" w:rsidRPr="0019269D" w:rsidRDefault="0019269D">
            <w:pPr>
              <w:rPr>
                <w:color w:val="0D0D0D" w:themeColor="text1" w:themeTint="F2"/>
                <w:sz w:val="28"/>
                <w:szCs w:val="28"/>
              </w:rPr>
            </w:pPr>
            <w:r>
              <w:rPr>
                <w:color w:val="0D0D0D" w:themeColor="text1" w:themeTint="F2"/>
                <w:sz w:val="28"/>
                <w:szCs w:val="28"/>
              </w:rPr>
              <w:t>№</w:t>
            </w:r>
          </w:p>
        </w:tc>
        <w:tc>
          <w:tcPr>
            <w:tcW w:w="3135" w:type="dxa"/>
          </w:tcPr>
          <w:p w:rsidR="0019269D" w:rsidRPr="0019269D" w:rsidRDefault="0019269D" w:rsidP="0019269D">
            <w:pPr>
              <w:rPr>
                <w:color w:val="0D0D0D" w:themeColor="text1" w:themeTint="F2"/>
                <w:sz w:val="28"/>
                <w:szCs w:val="28"/>
              </w:rPr>
            </w:pPr>
            <w:r w:rsidRPr="0019269D">
              <w:rPr>
                <w:color w:val="0D0D0D" w:themeColor="text1" w:themeTint="F2"/>
                <w:sz w:val="28"/>
                <w:szCs w:val="28"/>
              </w:rPr>
              <w:t>Типы данных</w:t>
            </w:r>
            <w:r>
              <w:rPr>
                <w:color w:val="0D0D0D" w:themeColor="text1" w:themeTint="F2"/>
                <w:sz w:val="28"/>
                <w:szCs w:val="28"/>
              </w:rPr>
              <w:t>/</w:t>
            </w:r>
            <w:r w:rsidRPr="0019269D">
              <w:rPr>
                <w:color w:val="0D0D0D" w:themeColor="text1" w:themeTint="F2"/>
                <w:sz w:val="28"/>
                <w:szCs w:val="28"/>
              </w:rPr>
              <w:t xml:space="preserve">объекты СУБД </w:t>
            </w:r>
            <w:proofErr w:type="spellStart"/>
            <w:r w:rsidRPr="0019269D">
              <w:rPr>
                <w:color w:val="0D0D0D" w:themeColor="text1" w:themeTint="F2"/>
                <w:sz w:val="28"/>
                <w:szCs w:val="28"/>
              </w:rPr>
              <w:t>Access</w:t>
            </w:r>
            <w:proofErr w:type="spellEnd"/>
          </w:p>
        </w:tc>
        <w:tc>
          <w:tcPr>
            <w:tcW w:w="5635" w:type="dxa"/>
          </w:tcPr>
          <w:p w:rsidR="0019269D" w:rsidRPr="0019269D" w:rsidRDefault="0019269D">
            <w:pPr>
              <w:rPr>
                <w:color w:val="0D0D0D" w:themeColor="text1" w:themeTint="F2"/>
                <w:sz w:val="28"/>
                <w:szCs w:val="28"/>
              </w:rPr>
            </w:pPr>
            <w:r>
              <w:rPr>
                <w:color w:val="0D0D0D" w:themeColor="text1" w:themeTint="F2"/>
                <w:sz w:val="28"/>
                <w:szCs w:val="28"/>
              </w:rPr>
              <w:t>Описание/характеристики</w:t>
            </w:r>
          </w:p>
        </w:tc>
      </w:tr>
      <w:tr w:rsidR="0019269D" w:rsidRPr="0019269D" w:rsidTr="0019269D">
        <w:tc>
          <w:tcPr>
            <w:tcW w:w="801" w:type="dxa"/>
          </w:tcPr>
          <w:p w:rsidR="0019269D" w:rsidRPr="0019269D" w:rsidRDefault="0019269D">
            <w:pPr>
              <w:rPr>
                <w:color w:val="0D0D0D" w:themeColor="text1" w:themeTint="F2"/>
                <w:sz w:val="28"/>
                <w:szCs w:val="28"/>
              </w:rPr>
            </w:pPr>
            <w:r>
              <w:rPr>
                <w:color w:val="0D0D0D" w:themeColor="text1" w:themeTint="F2"/>
                <w:sz w:val="28"/>
                <w:szCs w:val="28"/>
              </w:rPr>
              <w:t>1</w:t>
            </w:r>
          </w:p>
        </w:tc>
        <w:tc>
          <w:tcPr>
            <w:tcW w:w="3135" w:type="dxa"/>
          </w:tcPr>
          <w:p w:rsidR="0019269D" w:rsidRPr="0019269D" w:rsidRDefault="0019269D">
            <w:pPr>
              <w:rPr>
                <w:color w:val="0D0D0D" w:themeColor="text1" w:themeTint="F2"/>
                <w:sz w:val="28"/>
                <w:szCs w:val="28"/>
              </w:rPr>
            </w:pPr>
            <w:r>
              <w:t>Текстовый (</w:t>
            </w:r>
            <w:proofErr w:type="spellStart"/>
            <w:r>
              <w:t>Text</w:t>
            </w:r>
            <w:proofErr w:type="spellEnd"/>
            <w:r>
              <w:t>)</w:t>
            </w:r>
          </w:p>
        </w:tc>
        <w:tc>
          <w:tcPr>
            <w:tcW w:w="5635" w:type="dxa"/>
          </w:tcPr>
          <w:p w:rsidR="0019269D" w:rsidRPr="0019269D" w:rsidRDefault="0019269D">
            <w:pPr>
              <w:rPr>
                <w:color w:val="0D0D0D" w:themeColor="text1" w:themeTint="F2"/>
                <w:sz w:val="28"/>
                <w:szCs w:val="28"/>
              </w:rPr>
            </w:pPr>
            <w:r>
              <w:t>Символьные строки переменной длины до 255 символов</w:t>
            </w:r>
          </w:p>
        </w:tc>
      </w:tr>
      <w:tr w:rsidR="0019269D" w:rsidRPr="0019269D" w:rsidTr="0019269D">
        <w:tc>
          <w:tcPr>
            <w:tcW w:w="801" w:type="dxa"/>
          </w:tcPr>
          <w:p w:rsidR="0019269D" w:rsidRPr="0019269D" w:rsidRDefault="0019269D">
            <w:pPr>
              <w:rPr>
                <w:color w:val="0D0D0D" w:themeColor="text1" w:themeTint="F2"/>
                <w:sz w:val="28"/>
                <w:szCs w:val="28"/>
              </w:rPr>
            </w:pPr>
            <w:r>
              <w:rPr>
                <w:color w:val="0D0D0D" w:themeColor="text1" w:themeTint="F2"/>
                <w:sz w:val="28"/>
                <w:szCs w:val="28"/>
              </w:rPr>
              <w:t>2</w:t>
            </w:r>
          </w:p>
        </w:tc>
        <w:tc>
          <w:tcPr>
            <w:tcW w:w="3135" w:type="dxa"/>
          </w:tcPr>
          <w:p w:rsidR="0019269D" w:rsidRPr="0019269D" w:rsidRDefault="0019269D">
            <w:pPr>
              <w:rPr>
                <w:color w:val="0D0D0D" w:themeColor="text1" w:themeTint="F2"/>
                <w:sz w:val="28"/>
                <w:szCs w:val="28"/>
              </w:rPr>
            </w:pPr>
            <w:r>
              <w:t>МЕМО</w:t>
            </w:r>
          </w:p>
        </w:tc>
        <w:tc>
          <w:tcPr>
            <w:tcW w:w="5635" w:type="dxa"/>
          </w:tcPr>
          <w:p w:rsidR="0019269D" w:rsidRPr="0019269D" w:rsidRDefault="0019269D">
            <w:pPr>
              <w:rPr>
                <w:color w:val="0D0D0D" w:themeColor="text1" w:themeTint="F2"/>
                <w:sz w:val="28"/>
                <w:szCs w:val="28"/>
              </w:rPr>
            </w:pPr>
            <w:r>
              <w:t>Поле для ввода текстовой информации большого объема. Оно может содержать до 63 999 символов</w:t>
            </w:r>
          </w:p>
        </w:tc>
      </w:tr>
      <w:tr w:rsidR="0019269D" w:rsidRPr="0019269D" w:rsidTr="0019269D">
        <w:tc>
          <w:tcPr>
            <w:tcW w:w="801" w:type="dxa"/>
          </w:tcPr>
          <w:p w:rsidR="0019269D" w:rsidRPr="0019269D" w:rsidRDefault="0019269D">
            <w:pPr>
              <w:rPr>
                <w:color w:val="0D0D0D" w:themeColor="text1" w:themeTint="F2"/>
                <w:sz w:val="28"/>
                <w:szCs w:val="28"/>
              </w:rPr>
            </w:pPr>
            <w:r>
              <w:rPr>
                <w:color w:val="0D0D0D" w:themeColor="text1" w:themeTint="F2"/>
                <w:sz w:val="28"/>
                <w:szCs w:val="28"/>
              </w:rPr>
              <w:t>3</w:t>
            </w:r>
          </w:p>
        </w:tc>
        <w:tc>
          <w:tcPr>
            <w:tcW w:w="3135" w:type="dxa"/>
          </w:tcPr>
          <w:p w:rsidR="0019269D" w:rsidRPr="0019269D" w:rsidRDefault="0019269D">
            <w:pPr>
              <w:rPr>
                <w:color w:val="0D0D0D" w:themeColor="text1" w:themeTint="F2"/>
                <w:sz w:val="28"/>
                <w:szCs w:val="28"/>
              </w:rPr>
            </w:pPr>
            <w:r>
              <w:t>Числовой (</w:t>
            </w:r>
            <w:proofErr w:type="spellStart"/>
            <w:r>
              <w:t>Number</w:t>
            </w:r>
            <w:proofErr w:type="spellEnd"/>
            <w:r>
              <w:t>)</w:t>
            </w:r>
          </w:p>
        </w:tc>
        <w:tc>
          <w:tcPr>
            <w:tcW w:w="5635" w:type="dxa"/>
          </w:tcPr>
          <w:p w:rsidR="0019269D" w:rsidRDefault="0019269D">
            <w:r>
              <w:t>Тип, используемый для хранения числовых данных</w:t>
            </w:r>
          </w:p>
          <w:p w:rsidR="0019269D" w:rsidRPr="0019269D" w:rsidRDefault="0019269D" w:rsidP="0019269D">
            <w:pPr>
              <w:pStyle w:val="a4"/>
              <w:numPr>
                <w:ilvl w:val="0"/>
                <w:numId w:val="1"/>
              </w:numPr>
              <w:rPr>
                <w:color w:val="0D0D0D" w:themeColor="text1" w:themeTint="F2"/>
                <w:sz w:val="28"/>
                <w:szCs w:val="28"/>
              </w:rPr>
            </w:pPr>
            <w:r>
              <w:t>Длинное целое</w:t>
            </w:r>
          </w:p>
          <w:p w:rsidR="0019269D" w:rsidRPr="0019269D" w:rsidRDefault="0019269D" w:rsidP="0019269D">
            <w:pPr>
              <w:pStyle w:val="a4"/>
              <w:numPr>
                <w:ilvl w:val="0"/>
                <w:numId w:val="1"/>
              </w:numPr>
              <w:rPr>
                <w:color w:val="0D0D0D" w:themeColor="text1" w:themeTint="F2"/>
                <w:sz w:val="28"/>
                <w:szCs w:val="28"/>
              </w:rPr>
            </w:pPr>
            <w:r>
              <w:t>Байт</w:t>
            </w:r>
          </w:p>
          <w:p w:rsidR="0019269D" w:rsidRPr="0019269D" w:rsidRDefault="0019269D" w:rsidP="0019269D">
            <w:pPr>
              <w:pStyle w:val="a4"/>
              <w:numPr>
                <w:ilvl w:val="0"/>
                <w:numId w:val="1"/>
              </w:numPr>
              <w:rPr>
                <w:color w:val="0D0D0D" w:themeColor="text1" w:themeTint="F2"/>
                <w:sz w:val="28"/>
                <w:szCs w:val="28"/>
              </w:rPr>
            </w:pPr>
            <w:r>
              <w:t>Целое</w:t>
            </w:r>
          </w:p>
          <w:p w:rsidR="0019269D" w:rsidRPr="0019269D" w:rsidRDefault="0019269D" w:rsidP="0019269D">
            <w:pPr>
              <w:pStyle w:val="a4"/>
              <w:numPr>
                <w:ilvl w:val="0"/>
                <w:numId w:val="1"/>
              </w:numPr>
              <w:rPr>
                <w:color w:val="0D0D0D" w:themeColor="text1" w:themeTint="F2"/>
                <w:sz w:val="28"/>
                <w:szCs w:val="28"/>
              </w:rPr>
            </w:pPr>
            <w:r>
              <w:t>Действительное</w:t>
            </w:r>
          </w:p>
          <w:p w:rsidR="0019269D" w:rsidRPr="0019269D" w:rsidRDefault="0019269D" w:rsidP="0019269D">
            <w:pPr>
              <w:pStyle w:val="a4"/>
              <w:numPr>
                <w:ilvl w:val="0"/>
                <w:numId w:val="1"/>
              </w:numPr>
              <w:rPr>
                <w:color w:val="0D0D0D" w:themeColor="text1" w:themeTint="F2"/>
                <w:sz w:val="28"/>
                <w:szCs w:val="28"/>
              </w:rPr>
            </w:pPr>
            <w:proofErr w:type="gramStart"/>
            <w:r>
              <w:t>Одинарное</w:t>
            </w:r>
            <w:proofErr w:type="gramEnd"/>
            <w:r>
              <w:t xml:space="preserve"> с плавающей точкой</w:t>
            </w:r>
          </w:p>
          <w:p w:rsidR="0019269D" w:rsidRPr="0019269D" w:rsidRDefault="0019269D" w:rsidP="0019269D">
            <w:pPr>
              <w:pStyle w:val="a4"/>
              <w:numPr>
                <w:ilvl w:val="0"/>
                <w:numId w:val="1"/>
              </w:numPr>
              <w:rPr>
                <w:color w:val="0D0D0D" w:themeColor="text1" w:themeTint="F2"/>
                <w:sz w:val="28"/>
                <w:szCs w:val="28"/>
              </w:rPr>
            </w:pPr>
            <w:proofErr w:type="gramStart"/>
            <w:r>
              <w:t>Двойное</w:t>
            </w:r>
            <w:proofErr w:type="gramEnd"/>
            <w:r>
              <w:t xml:space="preserve"> с плавающей точкой</w:t>
            </w:r>
          </w:p>
          <w:p w:rsidR="0019269D" w:rsidRPr="0019269D" w:rsidRDefault="0019269D" w:rsidP="0019269D">
            <w:pPr>
              <w:pStyle w:val="a4"/>
              <w:numPr>
                <w:ilvl w:val="0"/>
                <w:numId w:val="1"/>
              </w:numPr>
              <w:rPr>
                <w:color w:val="0D0D0D" w:themeColor="text1" w:themeTint="F2"/>
                <w:sz w:val="28"/>
                <w:szCs w:val="28"/>
              </w:rPr>
            </w:pPr>
            <w:r>
              <w:t>Код репликации</w:t>
            </w:r>
          </w:p>
        </w:tc>
      </w:tr>
      <w:tr w:rsidR="0019269D" w:rsidRPr="0019269D" w:rsidTr="0019269D">
        <w:tc>
          <w:tcPr>
            <w:tcW w:w="801" w:type="dxa"/>
          </w:tcPr>
          <w:p w:rsidR="0019269D" w:rsidRPr="0019269D" w:rsidRDefault="0019269D">
            <w:pPr>
              <w:rPr>
                <w:color w:val="0D0D0D" w:themeColor="text1" w:themeTint="F2"/>
                <w:sz w:val="28"/>
                <w:szCs w:val="28"/>
              </w:rPr>
            </w:pPr>
            <w:r>
              <w:rPr>
                <w:color w:val="0D0D0D" w:themeColor="text1" w:themeTint="F2"/>
                <w:sz w:val="28"/>
                <w:szCs w:val="28"/>
              </w:rPr>
              <w:t>4</w:t>
            </w:r>
          </w:p>
        </w:tc>
        <w:tc>
          <w:tcPr>
            <w:tcW w:w="3135" w:type="dxa"/>
          </w:tcPr>
          <w:p w:rsidR="0019269D" w:rsidRPr="0019269D" w:rsidRDefault="0019269D">
            <w:pPr>
              <w:rPr>
                <w:color w:val="0D0D0D" w:themeColor="text1" w:themeTint="F2"/>
                <w:sz w:val="28"/>
                <w:szCs w:val="28"/>
              </w:rPr>
            </w:pPr>
            <w:r>
              <w:t>Дата/Время</w:t>
            </w:r>
          </w:p>
        </w:tc>
        <w:tc>
          <w:tcPr>
            <w:tcW w:w="5635" w:type="dxa"/>
          </w:tcPr>
          <w:p w:rsidR="0019269D" w:rsidRPr="0019269D" w:rsidRDefault="00AB5E88">
            <w:pPr>
              <w:rPr>
                <w:color w:val="0D0D0D" w:themeColor="text1" w:themeTint="F2"/>
                <w:sz w:val="28"/>
                <w:szCs w:val="28"/>
              </w:rPr>
            </w:pPr>
            <w:r>
              <w:t>Тип данных для представления даты и времени</w:t>
            </w:r>
          </w:p>
        </w:tc>
      </w:tr>
      <w:tr w:rsidR="0019269D" w:rsidRPr="0019269D" w:rsidTr="0019269D">
        <w:tc>
          <w:tcPr>
            <w:tcW w:w="801" w:type="dxa"/>
          </w:tcPr>
          <w:p w:rsidR="0019269D" w:rsidRPr="0019269D" w:rsidRDefault="00AB5E88">
            <w:pPr>
              <w:rPr>
                <w:color w:val="0D0D0D" w:themeColor="text1" w:themeTint="F2"/>
                <w:sz w:val="28"/>
                <w:szCs w:val="28"/>
              </w:rPr>
            </w:pPr>
            <w:r>
              <w:rPr>
                <w:color w:val="0D0D0D" w:themeColor="text1" w:themeTint="F2"/>
                <w:sz w:val="28"/>
                <w:szCs w:val="28"/>
              </w:rPr>
              <w:t>5</w:t>
            </w:r>
          </w:p>
        </w:tc>
        <w:tc>
          <w:tcPr>
            <w:tcW w:w="3135" w:type="dxa"/>
          </w:tcPr>
          <w:p w:rsidR="0019269D" w:rsidRPr="0019269D" w:rsidRDefault="00AB5E88">
            <w:pPr>
              <w:rPr>
                <w:color w:val="0D0D0D" w:themeColor="text1" w:themeTint="F2"/>
                <w:sz w:val="28"/>
                <w:szCs w:val="28"/>
              </w:rPr>
            </w:pPr>
            <w:r>
              <w:t>Денежный</w:t>
            </w:r>
          </w:p>
        </w:tc>
        <w:tc>
          <w:tcPr>
            <w:tcW w:w="5635" w:type="dxa"/>
          </w:tcPr>
          <w:p w:rsidR="0019269D" w:rsidRPr="0019269D" w:rsidRDefault="00AB5E88">
            <w:pPr>
              <w:rPr>
                <w:color w:val="0D0D0D" w:themeColor="text1" w:themeTint="F2"/>
                <w:sz w:val="28"/>
                <w:szCs w:val="28"/>
              </w:rPr>
            </w:pPr>
            <w:r>
              <w:t>Тип, предназначенный для хранения чисел с точностью от 1 до 4 знаков после запятой. Целая часть значения данного типа может содержать до 15 десятичных цифр.</w:t>
            </w:r>
          </w:p>
        </w:tc>
      </w:tr>
      <w:tr w:rsidR="0019269D" w:rsidRPr="0019269D" w:rsidTr="0019269D">
        <w:tc>
          <w:tcPr>
            <w:tcW w:w="801" w:type="dxa"/>
          </w:tcPr>
          <w:p w:rsidR="0019269D" w:rsidRPr="0019269D" w:rsidRDefault="00136954">
            <w:pPr>
              <w:rPr>
                <w:color w:val="0D0D0D" w:themeColor="text1" w:themeTint="F2"/>
                <w:sz w:val="28"/>
                <w:szCs w:val="28"/>
              </w:rPr>
            </w:pPr>
            <w:r>
              <w:rPr>
                <w:color w:val="0D0D0D" w:themeColor="text1" w:themeTint="F2"/>
                <w:sz w:val="28"/>
                <w:szCs w:val="28"/>
              </w:rPr>
              <w:t>6</w:t>
            </w:r>
          </w:p>
        </w:tc>
        <w:tc>
          <w:tcPr>
            <w:tcW w:w="3135" w:type="dxa"/>
          </w:tcPr>
          <w:p w:rsidR="0019269D" w:rsidRPr="0019269D" w:rsidRDefault="00136954">
            <w:pPr>
              <w:rPr>
                <w:color w:val="0D0D0D" w:themeColor="text1" w:themeTint="F2"/>
                <w:sz w:val="28"/>
                <w:szCs w:val="28"/>
              </w:rPr>
            </w:pPr>
            <w:r>
              <w:t>Счетчик</w:t>
            </w:r>
          </w:p>
        </w:tc>
        <w:tc>
          <w:tcPr>
            <w:tcW w:w="5635" w:type="dxa"/>
          </w:tcPr>
          <w:p w:rsidR="0019269D" w:rsidRPr="0019269D" w:rsidRDefault="00136954">
            <w:pPr>
              <w:rPr>
                <w:color w:val="0D0D0D" w:themeColor="text1" w:themeTint="F2"/>
                <w:sz w:val="28"/>
                <w:szCs w:val="28"/>
              </w:rPr>
            </w:pPr>
            <w:r>
              <w:t>Тип данных, используемый, если требуется получить уникальное в рамках таблицы числовое значение. Подобные поля часто используются для задания ключа таблицы.</w:t>
            </w:r>
          </w:p>
        </w:tc>
      </w:tr>
      <w:tr w:rsidR="0019269D" w:rsidRPr="0019269D" w:rsidTr="0019269D">
        <w:tc>
          <w:tcPr>
            <w:tcW w:w="801" w:type="dxa"/>
          </w:tcPr>
          <w:p w:rsidR="0019269D" w:rsidRPr="0019269D" w:rsidRDefault="00136954">
            <w:pPr>
              <w:rPr>
                <w:color w:val="0D0D0D" w:themeColor="text1" w:themeTint="F2"/>
                <w:sz w:val="28"/>
                <w:szCs w:val="28"/>
              </w:rPr>
            </w:pPr>
            <w:r>
              <w:rPr>
                <w:color w:val="0D0D0D" w:themeColor="text1" w:themeTint="F2"/>
                <w:sz w:val="28"/>
                <w:szCs w:val="28"/>
              </w:rPr>
              <w:t>7</w:t>
            </w:r>
          </w:p>
        </w:tc>
        <w:tc>
          <w:tcPr>
            <w:tcW w:w="3135" w:type="dxa"/>
          </w:tcPr>
          <w:p w:rsidR="0019269D" w:rsidRPr="0019269D" w:rsidRDefault="00055C39">
            <w:pPr>
              <w:rPr>
                <w:color w:val="0D0D0D" w:themeColor="text1" w:themeTint="F2"/>
                <w:sz w:val="28"/>
                <w:szCs w:val="28"/>
              </w:rPr>
            </w:pPr>
            <w:r>
              <w:t>Логический</w:t>
            </w:r>
          </w:p>
        </w:tc>
        <w:tc>
          <w:tcPr>
            <w:tcW w:w="5635" w:type="dxa"/>
          </w:tcPr>
          <w:p w:rsidR="0019269D" w:rsidRPr="00055C39" w:rsidRDefault="00055C39">
            <w:pPr>
              <w:rPr>
                <w:color w:val="0D0D0D" w:themeColor="text1" w:themeTint="F2"/>
                <w:sz w:val="28"/>
                <w:szCs w:val="28"/>
              </w:rPr>
            </w:pPr>
            <w:r>
              <w:t>Тип, который может содержать только два значения. В зависимости от настроек в свойстве поля, называемом «Формат ввода» они могут отображаться как «Истина/Ложь», «Да/Нет» или «</w:t>
            </w:r>
            <w:proofErr w:type="spellStart"/>
            <w:r>
              <w:t>Вкл</w:t>
            </w:r>
            <w:proofErr w:type="spellEnd"/>
            <w:r>
              <w:t>/</w:t>
            </w:r>
            <w:proofErr w:type="spellStart"/>
            <w:proofErr w:type="gramStart"/>
            <w:r>
              <w:t>Выкл</w:t>
            </w:r>
            <w:proofErr w:type="spellEnd"/>
            <w:proofErr w:type="gramEnd"/>
            <w:r>
              <w:t>». Поля данного типа не могут быть ключевыми, но их можно индексировать</w:t>
            </w:r>
          </w:p>
        </w:tc>
      </w:tr>
      <w:tr w:rsidR="00055C39" w:rsidRPr="0019269D" w:rsidTr="0019269D">
        <w:tc>
          <w:tcPr>
            <w:tcW w:w="801" w:type="dxa"/>
          </w:tcPr>
          <w:p w:rsidR="00055C39" w:rsidRDefault="00055C39">
            <w:pPr>
              <w:rPr>
                <w:color w:val="0D0D0D" w:themeColor="text1" w:themeTint="F2"/>
                <w:sz w:val="28"/>
                <w:szCs w:val="28"/>
              </w:rPr>
            </w:pPr>
            <w:r>
              <w:rPr>
                <w:color w:val="0D0D0D" w:themeColor="text1" w:themeTint="F2"/>
                <w:sz w:val="28"/>
                <w:szCs w:val="28"/>
              </w:rPr>
              <w:t>8</w:t>
            </w:r>
          </w:p>
        </w:tc>
        <w:tc>
          <w:tcPr>
            <w:tcW w:w="3135" w:type="dxa"/>
          </w:tcPr>
          <w:p w:rsidR="00055C39" w:rsidRDefault="00055C39">
            <w:r>
              <w:t>Поле объекта OLE</w:t>
            </w:r>
          </w:p>
        </w:tc>
        <w:tc>
          <w:tcPr>
            <w:tcW w:w="5635" w:type="dxa"/>
          </w:tcPr>
          <w:p w:rsidR="00055C39" w:rsidRDefault="00055C39">
            <w:r>
              <w:t xml:space="preserve">Содержит ссылку на OLE объект (звук, изображение, электронная таблица </w:t>
            </w:r>
            <w:proofErr w:type="spellStart"/>
            <w:r>
              <w:t>Excel</w:t>
            </w:r>
            <w:proofErr w:type="spellEnd"/>
            <w:r>
              <w:t xml:space="preserve"> и т.д.). Тип объекта не указывается в свойствах поля, он зависит от приложения, использованного для создания объекта OLE</w:t>
            </w:r>
          </w:p>
        </w:tc>
      </w:tr>
      <w:tr w:rsidR="00055C39" w:rsidRPr="0019269D" w:rsidTr="0019269D">
        <w:tc>
          <w:tcPr>
            <w:tcW w:w="801" w:type="dxa"/>
          </w:tcPr>
          <w:p w:rsidR="00055C39" w:rsidRDefault="00055C39">
            <w:pPr>
              <w:rPr>
                <w:color w:val="0D0D0D" w:themeColor="text1" w:themeTint="F2"/>
                <w:sz w:val="28"/>
                <w:szCs w:val="28"/>
              </w:rPr>
            </w:pPr>
            <w:r>
              <w:rPr>
                <w:color w:val="0D0D0D" w:themeColor="text1" w:themeTint="F2"/>
                <w:sz w:val="28"/>
                <w:szCs w:val="28"/>
              </w:rPr>
              <w:t>9</w:t>
            </w:r>
          </w:p>
        </w:tc>
        <w:tc>
          <w:tcPr>
            <w:tcW w:w="3135" w:type="dxa"/>
          </w:tcPr>
          <w:p w:rsidR="00055C39" w:rsidRDefault="00055C39">
            <w:r>
              <w:t>Гиперссылка</w:t>
            </w:r>
          </w:p>
        </w:tc>
        <w:tc>
          <w:tcPr>
            <w:tcW w:w="5635" w:type="dxa"/>
          </w:tcPr>
          <w:p w:rsidR="00055C39" w:rsidRDefault="00055C39">
            <w:r>
              <w:t xml:space="preserve">Позволяет вставить в поле гиперссылку, указывающую на произвольный фрагмент данных внутри файла или «во </w:t>
            </w:r>
            <w:proofErr w:type="gramStart"/>
            <w:r>
              <w:t>вне</w:t>
            </w:r>
            <w:proofErr w:type="gramEnd"/>
            <w:r>
              <w:t>» (в том числе и в Интернет)</w:t>
            </w:r>
          </w:p>
        </w:tc>
      </w:tr>
      <w:tr w:rsidR="00055C39" w:rsidRPr="0019269D" w:rsidTr="0019269D">
        <w:tc>
          <w:tcPr>
            <w:tcW w:w="801" w:type="dxa"/>
          </w:tcPr>
          <w:p w:rsidR="00055C39" w:rsidRDefault="00055C39">
            <w:pPr>
              <w:rPr>
                <w:color w:val="0D0D0D" w:themeColor="text1" w:themeTint="F2"/>
                <w:sz w:val="28"/>
                <w:szCs w:val="28"/>
              </w:rPr>
            </w:pPr>
            <w:r>
              <w:rPr>
                <w:color w:val="0D0D0D" w:themeColor="text1" w:themeTint="F2"/>
                <w:sz w:val="28"/>
                <w:szCs w:val="28"/>
              </w:rPr>
              <w:t>10</w:t>
            </w:r>
          </w:p>
        </w:tc>
        <w:tc>
          <w:tcPr>
            <w:tcW w:w="3135" w:type="dxa"/>
          </w:tcPr>
          <w:p w:rsidR="00055C39" w:rsidRDefault="00055C39">
            <w:r>
              <w:t>Вложение</w:t>
            </w:r>
          </w:p>
        </w:tc>
        <w:tc>
          <w:tcPr>
            <w:tcW w:w="5635" w:type="dxa"/>
          </w:tcPr>
          <w:p w:rsidR="00055C39" w:rsidRDefault="00055C39">
            <w:r>
              <w:t>Позволяет добавить файл произвольного типа. Работа с данными этого типа напоминает работу с типом Поле объекта OLE, но как отмечается в справочной системе, использование типа Вложение позволяет работать с файлами более гибко и экономно с точки зрения использования дискового пространства</w:t>
            </w:r>
          </w:p>
        </w:tc>
      </w:tr>
      <w:tr w:rsidR="00055C39" w:rsidRPr="0019269D" w:rsidTr="0019269D">
        <w:tc>
          <w:tcPr>
            <w:tcW w:w="801" w:type="dxa"/>
          </w:tcPr>
          <w:p w:rsidR="00055C39" w:rsidRDefault="00055C39">
            <w:pPr>
              <w:rPr>
                <w:color w:val="0D0D0D" w:themeColor="text1" w:themeTint="F2"/>
                <w:sz w:val="28"/>
                <w:szCs w:val="28"/>
              </w:rPr>
            </w:pPr>
          </w:p>
        </w:tc>
        <w:tc>
          <w:tcPr>
            <w:tcW w:w="3135" w:type="dxa"/>
          </w:tcPr>
          <w:p w:rsidR="00055C39" w:rsidRDefault="00055C39">
            <w:r w:rsidRPr="00055C39">
              <w:t>Таблица</w:t>
            </w:r>
          </w:p>
        </w:tc>
        <w:tc>
          <w:tcPr>
            <w:tcW w:w="5635" w:type="dxa"/>
          </w:tcPr>
          <w:p w:rsidR="00055C39" w:rsidRDefault="00055C39" w:rsidP="00055C39">
            <w:r w:rsidRPr="00055C39">
              <w:t>Объект, который определяется и используется для хранения данных.</w:t>
            </w:r>
            <w:r>
              <w:t xml:space="preserve"> </w:t>
            </w:r>
            <w:r w:rsidRPr="00055C39">
              <w:t xml:space="preserve">Таблица содержит поля (столбцы), в которых хранятся различного рода </w:t>
            </w:r>
            <w:proofErr w:type="spellStart"/>
            <w:r w:rsidRPr="00055C39">
              <w:t>данныеи</w:t>
            </w:r>
            <w:proofErr w:type="spellEnd"/>
            <w:r w:rsidRPr="00055C39">
              <w:t xml:space="preserve"> записи (которые называются также строками). В записи собрана вся инфо</w:t>
            </w:r>
            <w:r>
              <w:t xml:space="preserve">рмация о некотором объекте. </w:t>
            </w:r>
            <w:r w:rsidRPr="00055C39">
              <w:t xml:space="preserve">Для каждой таблицы можно определить первичный ключ (одно или несколько полей, содержащих уникальные для каждой записи значения) и один или несколько индексов, </w:t>
            </w:r>
            <w:r w:rsidRPr="00055C39">
              <w:lastRenderedPageBreak/>
              <w:t>помогающих ускорить доступ к данным.</w:t>
            </w:r>
          </w:p>
        </w:tc>
      </w:tr>
      <w:tr w:rsidR="00055C39" w:rsidRPr="0019269D" w:rsidTr="0019269D">
        <w:tc>
          <w:tcPr>
            <w:tcW w:w="801" w:type="dxa"/>
          </w:tcPr>
          <w:p w:rsidR="00055C39" w:rsidRDefault="00055C39">
            <w:pPr>
              <w:rPr>
                <w:color w:val="0D0D0D" w:themeColor="text1" w:themeTint="F2"/>
                <w:sz w:val="28"/>
                <w:szCs w:val="28"/>
              </w:rPr>
            </w:pPr>
          </w:p>
        </w:tc>
        <w:tc>
          <w:tcPr>
            <w:tcW w:w="3135" w:type="dxa"/>
          </w:tcPr>
          <w:p w:rsidR="00055C39" w:rsidRPr="00055C39" w:rsidRDefault="00055C39">
            <w:r w:rsidRPr="00055C39">
              <w:t>Запрос</w:t>
            </w:r>
          </w:p>
        </w:tc>
        <w:tc>
          <w:tcPr>
            <w:tcW w:w="5635" w:type="dxa"/>
          </w:tcPr>
          <w:p w:rsidR="00055C39" w:rsidRPr="00055C39" w:rsidRDefault="00055C39" w:rsidP="00055C39">
            <w:r w:rsidRPr="00055C39">
              <w:t>Объект, который позволяет пользователю получить нужные данные из одной или нескольких таблиц. Для создания запроса можно использовать бланк QBE (запрос по образцу) или инструкции SQL (структурированный язык запросов). Можно создать запросы на выборку, обновление, удаление или добавление данных. С помощью запросов можно также создавать новые таблицы, используя данные из одной или нескольких существующих таблиц.</w:t>
            </w:r>
          </w:p>
        </w:tc>
      </w:tr>
      <w:tr w:rsidR="00055C39" w:rsidRPr="0019269D" w:rsidTr="0019269D">
        <w:tc>
          <w:tcPr>
            <w:tcW w:w="801" w:type="dxa"/>
          </w:tcPr>
          <w:p w:rsidR="00055C39" w:rsidRDefault="00055C39">
            <w:pPr>
              <w:rPr>
                <w:color w:val="0D0D0D" w:themeColor="text1" w:themeTint="F2"/>
                <w:sz w:val="28"/>
                <w:szCs w:val="28"/>
              </w:rPr>
            </w:pPr>
          </w:p>
        </w:tc>
        <w:tc>
          <w:tcPr>
            <w:tcW w:w="3135" w:type="dxa"/>
          </w:tcPr>
          <w:p w:rsidR="00055C39" w:rsidRPr="00055C39" w:rsidRDefault="00055C39">
            <w:r>
              <w:t>Форма</w:t>
            </w:r>
          </w:p>
        </w:tc>
        <w:tc>
          <w:tcPr>
            <w:tcW w:w="5635" w:type="dxa"/>
          </w:tcPr>
          <w:p w:rsidR="00055C39" w:rsidRPr="00055C39" w:rsidRDefault="00055C39" w:rsidP="00055C39">
            <w:r w:rsidRPr="00055C39">
              <w:t>Объект, предназначенный в основном для ввода данных, отображения их на экране или управления работой приложения. Формы используются для того, чтобы реализовать требования пользователя к представлению данных из запросов или таблиц. Формы можно также распечатать. С помощью формы можно в ответ на некоторое событие, например изменение значения определенных данных, запустить макрос или процедуру VBA.</w:t>
            </w:r>
          </w:p>
        </w:tc>
      </w:tr>
      <w:tr w:rsidR="00055C39" w:rsidRPr="0019269D" w:rsidTr="0019269D">
        <w:tc>
          <w:tcPr>
            <w:tcW w:w="801" w:type="dxa"/>
          </w:tcPr>
          <w:p w:rsidR="00055C39" w:rsidRDefault="00055C39">
            <w:pPr>
              <w:rPr>
                <w:color w:val="0D0D0D" w:themeColor="text1" w:themeTint="F2"/>
                <w:sz w:val="28"/>
                <w:szCs w:val="28"/>
              </w:rPr>
            </w:pPr>
          </w:p>
        </w:tc>
        <w:tc>
          <w:tcPr>
            <w:tcW w:w="3135" w:type="dxa"/>
          </w:tcPr>
          <w:p w:rsidR="00055C39" w:rsidRDefault="00055C39">
            <w:r w:rsidRPr="00055C39">
              <w:t>Отчет</w:t>
            </w:r>
          </w:p>
        </w:tc>
        <w:tc>
          <w:tcPr>
            <w:tcW w:w="5635" w:type="dxa"/>
          </w:tcPr>
          <w:p w:rsidR="00055C39" w:rsidRPr="00055C39" w:rsidRDefault="00055C39" w:rsidP="00055C39">
            <w:r w:rsidRPr="00055C39">
              <w:t>Объект, предназначенный для создания документа, который впоследствии может быть распечатан или включен в документ другого приложения.</w:t>
            </w:r>
          </w:p>
        </w:tc>
      </w:tr>
      <w:tr w:rsidR="00055C39" w:rsidRPr="0019269D" w:rsidTr="0019269D">
        <w:tc>
          <w:tcPr>
            <w:tcW w:w="801" w:type="dxa"/>
          </w:tcPr>
          <w:p w:rsidR="00055C39" w:rsidRDefault="00055C39">
            <w:pPr>
              <w:rPr>
                <w:color w:val="0D0D0D" w:themeColor="text1" w:themeTint="F2"/>
                <w:sz w:val="28"/>
                <w:szCs w:val="28"/>
              </w:rPr>
            </w:pPr>
          </w:p>
        </w:tc>
        <w:tc>
          <w:tcPr>
            <w:tcW w:w="3135" w:type="dxa"/>
          </w:tcPr>
          <w:p w:rsidR="00055C39" w:rsidRPr="00055C39" w:rsidRDefault="00055C39">
            <w:r w:rsidRPr="00055C39">
              <w:t>Макрос</w:t>
            </w:r>
          </w:p>
        </w:tc>
        <w:tc>
          <w:tcPr>
            <w:tcW w:w="5635" w:type="dxa"/>
          </w:tcPr>
          <w:p w:rsidR="00055C39" w:rsidRPr="00055C39" w:rsidRDefault="00055C39" w:rsidP="00055C39">
            <w:r w:rsidRPr="00055C39">
              <w:t xml:space="preserve">Объект, представляющий собой структурированное описание одного или нескольких действий, которые должен выполнить </w:t>
            </w:r>
            <w:proofErr w:type="spellStart"/>
            <w:r w:rsidRPr="00055C39">
              <w:t>Access</w:t>
            </w:r>
            <w:proofErr w:type="spellEnd"/>
            <w:r w:rsidRPr="00055C39">
              <w:t xml:space="preserve"> в ответ на определенное событие. Например, можно определить макрос, который в ответ на выбор некоторого элемента в основной форме открывает другую форму. С помощью другого макроса можно осуществлять проверку значения некоторого поля при изменении его содержимого. В макрос можно включить дополнительные условия для выполнения или невыполнения тех или иных указанных в нем действий. Из одного макроса можно также запустить другой макрос или процедуру VBA.</w:t>
            </w:r>
          </w:p>
        </w:tc>
      </w:tr>
      <w:tr w:rsidR="00055C39" w:rsidRPr="0019269D" w:rsidTr="0019269D">
        <w:tc>
          <w:tcPr>
            <w:tcW w:w="801" w:type="dxa"/>
          </w:tcPr>
          <w:p w:rsidR="00055C39" w:rsidRDefault="00055C39">
            <w:pPr>
              <w:rPr>
                <w:color w:val="0D0D0D" w:themeColor="text1" w:themeTint="F2"/>
                <w:sz w:val="28"/>
                <w:szCs w:val="28"/>
              </w:rPr>
            </w:pPr>
          </w:p>
        </w:tc>
        <w:tc>
          <w:tcPr>
            <w:tcW w:w="3135" w:type="dxa"/>
          </w:tcPr>
          <w:p w:rsidR="00055C39" w:rsidRPr="00055C39" w:rsidRDefault="00055C39">
            <w:r w:rsidRPr="00055C39">
              <w:t>Модуль</w:t>
            </w:r>
          </w:p>
        </w:tc>
        <w:tc>
          <w:tcPr>
            <w:tcW w:w="5635" w:type="dxa"/>
          </w:tcPr>
          <w:p w:rsidR="00055C39" w:rsidRPr="00055C39" w:rsidRDefault="00055C39" w:rsidP="00055C39">
            <w:pPr>
              <w:rPr>
                <w:lang w:val="en-US"/>
              </w:rPr>
            </w:pPr>
            <w:r w:rsidRPr="00055C39">
              <w:t xml:space="preserve">Объект, содержащий программы, написанные на языке </w:t>
            </w:r>
            <w:proofErr w:type="spellStart"/>
            <w:r w:rsidRPr="00055C39">
              <w:t>Visual</w:t>
            </w:r>
            <w:proofErr w:type="spellEnd"/>
            <w:r w:rsidRPr="00055C39">
              <w:t xml:space="preserve"> </w:t>
            </w:r>
            <w:proofErr w:type="spellStart"/>
            <w:r w:rsidRPr="00055C39">
              <w:t>Basic</w:t>
            </w:r>
            <w:proofErr w:type="spellEnd"/>
            <w:r w:rsidRPr="00055C39">
              <w:t xml:space="preserve"> для приложений. Модули могут быть независимыми объектами, содержащими функции, вызываемые из любого места приложения, но они могут быть и непосредственно "привязаны" к отдельным формам или отчетам для реакции </w:t>
            </w:r>
            <w:proofErr w:type="gramStart"/>
            <w:r w:rsidRPr="00055C39">
              <w:t>на те</w:t>
            </w:r>
            <w:proofErr w:type="gramEnd"/>
            <w:r w:rsidRPr="00055C39">
              <w:t xml:space="preserve"> или иные происходящие в них изменения.</w:t>
            </w:r>
          </w:p>
        </w:tc>
      </w:tr>
      <w:tr w:rsidR="002926B9" w:rsidRPr="0019269D" w:rsidTr="0019269D">
        <w:tc>
          <w:tcPr>
            <w:tcW w:w="801" w:type="dxa"/>
          </w:tcPr>
          <w:p w:rsidR="002926B9" w:rsidRDefault="002926B9">
            <w:pPr>
              <w:rPr>
                <w:color w:val="0D0D0D" w:themeColor="text1" w:themeTint="F2"/>
                <w:sz w:val="28"/>
                <w:szCs w:val="28"/>
              </w:rPr>
            </w:pPr>
          </w:p>
        </w:tc>
        <w:tc>
          <w:tcPr>
            <w:tcW w:w="3135" w:type="dxa"/>
          </w:tcPr>
          <w:p w:rsidR="002926B9" w:rsidRPr="00055C39" w:rsidRDefault="002926B9">
            <w:r w:rsidRPr="002926B9">
              <w:t>Страницы доступа</w:t>
            </w:r>
          </w:p>
        </w:tc>
        <w:tc>
          <w:tcPr>
            <w:tcW w:w="5635" w:type="dxa"/>
          </w:tcPr>
          <w:p w:rsidR="002926B9" w:rsidRPr="00055C39" w:rsidRDefault="002926B9" w:rsidP="00055C39">
            <w:r w:rsidRPr="002926B9">
              <w:t>Страницы - служат для обеспечения доступа к данным, содержащимся в базе, удалённой от потребителя</w:t>
            </w:r>
          </w:p>
        </w:tc>
      </w:tr>
    </w:tbl>
    <w:p w:rsidR="0019269D" w:rsidRPr="0019269D" w:rsidRDefault="0019269D">
      <w:pPr>
        <w:rPr>
          <w:color w:val="0D0D0D" w:themeColor="text1" w:themeTint="F2"/>
          <w:sz w:val="28"/>
          <w:szCs w:val="28"/>
        </w:rPr>
      </w:pPr>
    </w:p>
    <w:sectPr w:rsidR="0019269D" w:rsidRPr="0019269D" w:rsidSect="003212E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C4615"/>
    <w:multiLevelType w:val="hybridMultilevel"/>
    <w:tmpl w:val="AAD88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19269D"/>
    <w:rsid w:val="00005911"/>
    <w:rsid w:val="0001409D"/>
    <w:rsid w:val="000169BD"/>
    <w:rsid w:val="00037527"/>
    <w:rsid w:val="00054D68"/>
    <w:rsid w:val="00055C39"/>
    <w:rsid w:val="00060D03"/>
    <w:rsid w:val="00064BAF"/>
    <w:rsid w:val="00084A53"/>
    <w:rsid w:val="000B42EA"/>
    <w:rsid w:val="000D4425"/>
    <w:rsid w:val="000D794E"/>
    <w:rsid w:val="000E7E68"/>
    <w:rsid w:val="0011093E"/>
    <w:rsid w:val="0011355E"/>
    <w:rsid w:val="00117B2C"/>
    <w:rsid w:val="0013180A"/>
    <w:rsid w:val="001352BD"/>
    <w:rsid w:val="00136954"/>
    <w:rsid w:val="001532DD"/>
    <w:rsid w:val="001629EC"/>
    <w:rsid w:val="00162BA5"/>
    <w:rsid w:val="001650DC"/>
    <w:rsid w:val="00176A54"/>
    <w:rsid w:val="00176AE1"/>
    <w:rsid w:val="0019269D"/>
    <w:rsid w:val="001973D6"/>
    <w:rsid w:val="001A14CB"/>
    <w:rsid w:val="001B40DD"/>
    <w:rsid w:val="001D0B14"/>
    <w:rsid w:val="001E4AD9"/>
    <w:rsid w:val="00202CF2"/>
    <w:rsid w:val="00205314"/>
    <w:rsid w:val="00206FDF"/>
    <w:rsid w:val="00211ADC"/>
    <w:rsid w:val="002238E8"/>
    <w:rsid w:val="00236843"/>
    <w:rsid w:val="00251FB8"/>
    <w:rsid w:val="00271B94"/>
    <w:rsid w:val="0027316A"/>
    <w:rsid w:val="00275E23"/>
    <w:rsid w:val="002777C5"/>
    <w:rsid w:val="00283CF9"/>
    <w:rsid w:val="002926B9"/>
    <w:rsid w:val="002A018D"/>
    <w:rsid w:val="002A4FBF"/>
    <w:rsid w:val="002A759D"/>
    <w:rsid w:val="002F7A0B"/>
    <w:rsid w:val="00312C9F"/>
    <w:rsid w:val="0031762B"/>
    <w:rsid w:val="003212EB"/>
    <w:rsid w:val="00323CEB"/>
    <w:rsid w:val="00337A8C"/>
    <w:rsid w:val="003453AA"/>
    <w:rsid w:val="00393C2D"/>
    <w:rsid w:val="003D7A35"/>
    <w:rsid w:val="003E482A"/>
    <w:rsid w:val="00400823"/>
    <w:rsid w:val="00415976"/>
    <w:rsid w:val="00425C12"/>
    <w:rsid w:val="004378C8"/>
    <w:rsid w:val="00440C4E"/>
    <w:rsid w:val="004611D8"/>
    <w:rsid w:val="00467818"/>
    <w:rsid w:val="00472622"/>
    <w:rsid w:val="00486BC8"/>
    <w:rsid w:val="0049798F"/>
    <w:rsid w:val="004B1523"/>
    <w:rsid w:val="004B18CA"/>
    <w:rsid w:val="004E208E"/>
    <w:rsid w:val="004E73CB"/>
    <w:rsid w:val="004E7578"/>
    <w:rsid w:val="004F14C3"/>
    <w:rsid w:val="00564891"/>
    <w:rsid w:val="00576625"/>
    <w:rsid w:val="00576C73"/>
    <w:rsid w:val="0058391C"/>
    <w:rsid w:val="005927B9"/>
    <w:rsid w:val="005A6E04"/>
    <w:rsid w:val="005C7FE1"/>
    <w:rsid w:val="005D7847"/>
    <w:rsid w:val="005F4E52"/>
    <w:rsid w:val="005F6491"/>
    <w:rsid w:val="005F67AE"/>
    <w:rsid w:val="00603EBE"/>
    <w:rsid w:val="00613E85"/>
    <w:rsid w:val="00625A2F"/>
    <w:rsid w:val="00630FEA"/>
    <w:rsid w:val="00634EDC"/>
    <w:rsid w:val="00640C1B"/>
    <w:rsid w:val="00642F18"/>
    <w:rsid w:val="00655116"/>
    <w:rsid w:val="00672593"/>
    <w:rsid w:val="006756FC"/>
    <w:rsid w:val="00692A4C"/>
    <w:rsid w:val="006B3659"/>
    <w:rsid w:val="006B3CE4"/>
    <w:rsid w:val="006C07D0"/>
    <w:rsid w:val="006C5AD0"/>
    <w:rsid w:val="006D73B8"/>
    <w:rsid w:val="006E451A"/>
    <w:rsid w:val="006F4DE4"/>
    <w:rsid w:val="00707958"/>
    <w:rsid w:val="0073301A"/>
    <w:rsid w:val="0073627D"/>
    <w:rsid w:val="00753604"/>
    <w:rsid w:val="00760BB1"/>
    <w:rsid w:val="00760E37"/>
    <w:rsid w:val="007637E5"/>
    <w:rsid w:val="0077096B"/>
    <w:rsid w:val="00771911"/>
    <w:rsid w:val="00785376"/>
    <w:rsid w:val="007B2051"/>
    <w:rsid w:val="007C2991"/>
    <w:rsid w:val="007C2BC4"/>
    <w:rsid w:val="007D3056"/>
    <w:rsid w:val="007D4FDA"/>
    <w:rsid w:val="007E16D5"/>
    <w:rsid w:val="007E5572"/>
    <w:rsid w:val="007E7A2F"/>
    <w:rsid w:val="007F752A"/>
    <w:rsid w:val="008046BD"/>
    <w:rsid w:val="008079FB"/>
    <w:rsid w:val="0081030C"/>
    <w:rsid w:val="008140F2"/>
    <w:rsid w:val="0081519A"/>
    <w:rsid w:val="00816100"/>
    <w:rsid w:val="00830571"/>
    <w:rsid w:val="0085690B"/>
    <w:rsid w:val="00860418"/>
    <w:rsid w:val="00876DA8"/>
    <w:rsid w:val="00880C54"/>
    <w:rsid w:val="00882021"/>
    <w:rsid w:val="00891787"/>
    <w:rsid w:val="008A1948"/>
    <w:rsid w:val="008A73AA"/>
    <w:rsid w:val="008A75CB"/>
    <w:rsid w:val="008B5305"/>
    <w:rsid w:val="008B721A"/>
    <w:rsid w:val="008B7C19"/>
    <w:rsid w:val="008C25AF"/>
    <w:rsid w:val="008C2FBD"/>
    <w:rsid w:val="008D5FD9"/>
    <w:rsid w:val="008E3125"/>
    <w:rsid w:val="008E63E0"/>
    <w:rsid w:val="00917884"/>
    <w:rsid w:val="00943DD5"/>
    <w:rsid w:val="0095619E"/>
    <w:rsid w:val="009649B0"/>
    <w:rsid w:val="009652BF"/>
    <w:rsid w:val="00966DC9"/>
    <w:rsid w:val="00984DBE"/>
    <w:rsid w:val="009938E1"/>
    <w:rsid w:val="009C1560"/>
    <w:rsid w:val="009D02E5"/>
    <w:rsid w:val="009F188C"/>
    <w:rsid w:val="009F26CA"/>
    <w:rsid w:val="00A05EB3"/>
    <w:rsid w:val="00A13611"/>
    <w:rsid w:val="00A200E7"/>
    <w:rsid w:val="00A43539"/>
    <w:rsid w:val="00A50E22"/>
    <w:rsid w:val="00A765D8"/>
    <w:rsid w:val="00AA55AF"/>
    <w:rsid w:val="00AB5E88"/>
    <w:rsid w:val="00B00DAF"/>
    <w:rsid w:val="00B24D38"/>
    <w:rsid w:val="00B3086E"/>
    <w:rsid w:val="00B40711"/>
    <w:rsid w:val="00B43995"/>
    <w:rsid w:val="00B4719D"/>
    <w:rsid w:val="00B54581"/>
    <w:rsid w:val="00B57DC4"/>
    <w:rsid w:val="00B768B9"/>
    <w:rsid w:val="00B864CD"/>
    <w:rsid w:val="00C20069"/>
    <w:rsid w:val="00C2227B"/>
    <w:rsid w:val="00C5367D"/>
    <w:rsid w:val="00C654A4"/>
    <w:rsid w:val="00C77F79"/>
    <w:rsid w:val="00C80DC0"/>
    <w:rsid w:val="00C92C5E"/>
    <w:rsid w:val="00CA06E2"/>
    <w:rsid w:val="00CA33B6"/>
    <w:rsid w:val="00CB0279"/>
    <w:rsid w:val="00CB0BAA"/>
    <w:rsid w:val="00CB19E0"/>
    <w:rsid w:val="00CE1020"/>
    <w:rsid w:val="00CF045D"/>
    <w:rsid w:val="00D03BBA"/>
    <w:rsid w:val="00D06EC4"/>
    <w:rsid w:val="00D12292"/>
    <w:rsid w:val="00D24329"/>
    <w:rsid w:val="00D41A41"/>
    <w:rsid w:val="00D4647E"/>
    <w:rsid w:val="00D560CC"/>
    <w:rsid w:val="00D67255"/>
    <w:rsid w:val="00D81D85"/>
    <w:rsid w:val="00D84187"/>
    <w:rsid w:val="00DA0037"/>
    <w:rsid w:val="00DB00AD"/>
    <w:rsid w:val="00DB0D3A"/>
    <w:rsid w:val="00DB350D"/>
    <w:rsid w:val="00DB7BC2"/>
    <w:rsid w:val="00DE202D"/>
    <w:rsid w:val="00E20D28"/>
    <w:rsid w:val="00E33CD5"/>
    <w:rsid w:val="00E51FBF"/>
    <w:rsid w:val="00E52A6C"/>
    <w:rsid w:val="00E626BD"/>
    <w:rsid w:val="00E712DC"/>
    <w:rsid w:val="00E75EC2"/>
    <w:rsid w:val="00E921C9"/>
    <w:rsid w:val="00E92348"/>
    <w:rsid w:val="00EA6B9D"/>
    <w:rsid w:val="00EB408B"/>
    <w:rsid w:val="00EC11E4"/>
    <w:rsid w:val="00EC6319"/>
    <w:rsid w:val="00ED0124"/>
    <w:rsid w:val="00ED2D28"/>
    <w:rsid w:val="00ED371B"/>
    <w:rsid w:val="00ED5C37"/>
    <w:rsid w:val="00EE657A"/>
    <w:rsid w:val="00F00A6E"/>
    <w:rsid w:val="00F0381D"/>
    <w:rsid w:val="00F04C7C"/>
    <w:rsid w:val="00F0685A"/>
    <w:rsid w:val="00F221E7"/>
    <w:rsid w:val="00F437F2"/>
    <w:rsid w:val="00F55285"/>
    <w:rsid w:val="00F63767"/>
    <w:rsid w:val="00F8058C"/>
    <w:rsid w:val="00FA422A"/>
    <w:rsid w:val="00FB7915"/>
    <w:rsid w:val="00FC3C7A"/>
    <w:rsid w:val="00FC6ECF"/>
    <w:rsid w:val="00FE3773"/>
    <w:rsid w:val="00FF26D2"/>
    <w:rsid w:val="00FF27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2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2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926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629</Words>
  <Characters>3591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dc:creator>
  <cp:lastModifiedBy>Елизавета</cp:lastModifiedBy>
  <cp:revision>3</cp:revision>
  <dcterms:created xsi:type="dcterms:W3CDTF">2020-02-05T13:18:00Z</dcterms:created>
  <dcterms:modified xsi:type="dcterms:W3CDTF">2020-02-18T18:47:00Z</dcterms:modified>
</cp:coreProperties>
</file>