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D6B"/>
          <w:sz w:val="27"/>
        </w:rPr>
        <w:t>Diamante Ltd — Alternative ESG KPIs to Replace the EY Integrated-Reporting Rating (KPI 5)</w:t>
      </w:r>
    </w:p>
    <w:p>
      <w:pPr>
        <w:pStyle w:val="ListBullet"/>
        <w:spacing w:after="60"/>
      </w:pPr>
      <w:r>
        <w:rPr>
          <w:sz w:val="20"/>
        </w:rPr>
        <w:t>KPI 5 rewards the quality of the report, not real ESG performance, which is a greenwashing risk.</w:t>
      </w:r>
    </w:p>
    <w:p>
      <w:pPr>
        <w:pStyle w:val="ListBullet"/>
        <w:spacing w:after="60"/>
      </w:pPr>
      <w:r>
        <w:rPr>
          <w:sz w:val="20"/>
        </w:rPr>
        <w:t>The alternatives below measure hard ESG outcomes that management can control and that a marker can quantify.</w:t>
      </w:r>
    </w:p>
    <w:p>
      <w:pPr>
        <w:pStyle w:val="ListBullet"/>
        <w:spacing w:after="60"/>
      </w:pPr>
      <w:r>
        <w:rPr>
          <w:sz w:val="20"/>
        </w:rPr>
        <w:t>Where a formula applies it is shown with its exact inputs and output; some governance measures are counts rather than formulas.</w:t>
      </w:r>
    </w:p>
    <w:p>
      <w:pPr>
        <w:spacing w:before="180" w:after="40"/>
        <w:shd w:val="clear" w:fill="1f5b3a"/>
      </w:pPr>
      <w:r>
        <w:rPr>
          <w:b/>
          <w:color w:val="FFFFFF"/>
          <w:sz w:val="25"/>
        </w:rPr>
        <w:t>Environmental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512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ESG KPI</w:t>
            </w:r>
          </w:p>
        </w:tc>
        <w:tc>
          <w:tcPr>
            <w:tcW w:type="dxa" w:w="2232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81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Why it is a good alternative for Diamante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GHG emissions (Scope 1 &amp; 2) vs roadmap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Reduction % = (baseline − current) ÷ baseline × 100;  Intensity = tCO2e ÷ carats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Scope 1 + Scope 2 emissions (tCO2e); the 2019 baseline; carats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Total emissions, the % progress toward the target, and carbon per carat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It measures progress against Diamante’s own 35–40% by 2030 target, and it manages the carbon-tax and transition risk that threaten value, replacing a report rating with a real outcome.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Renewable energy share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Renewable % = renewable energy ÷ total energy × 100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Renewable energy used; total energy used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share of energy from renewable sources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Cutting reliance on Eskom and fossil fuels lowers both the energy cost and the carbon footprint, so it links an ESG measure directly to Diamante’s cost problem.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Water recycled / re-used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Recycled % = recycled water ÷ total water used × 100;  Intensity = water ÷ carats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Recycled water volume; total water used; carats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% of water reused, and water used per carat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Diamante mines in water-scarce areas and lists restricted water access as a key risk, so water efficiency protects production and the licence to operate.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Rehabilitation of land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Rehabilitated % = rehabilitated area ÷ disturbed area × 100;  Provision adequacy = provision ÷ estimated closure cost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Disturbed and rehabilitated land; the closure cost estimate; the rehabilitation provision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% of land restored, and whether the provision covers the cost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Rehabilitation underpins the IAS 37 provision, so the KPI protects against understated liabilities, fines and closure risk.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Tailings safety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No formula — measured as audits passed and incident count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Tailings-facility audit results; number of incidents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Whether the facilities are compliant, and how many incidents occurred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Tailings failure is a stated environmental risk that could cause deaths, fines and a production stoppage, so it directly protects going concern.</w:t>
            </w:r>
          </w:p>
        </w:tc>
      </w:tr>
    </w:tbl>
    <w:p>
      <w:pPr>
        <w:spacing w:before="180" w:after="40"/>
        <w:shd w:val="clear" w:fill="1f5b3a"/>
      </w:pPr>
      <w:r>
        <w:rPr>
          <w:b/>
          <w:color w:val="FFFFFF"/>
          <w:sz w:val="25"/>
        </w:rPr>
        <w:t>Social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512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ESG KPI</w:t>
            </w:r>
          </w:p>
        </w:tc>
        <w:tc>
          <w:tcPr>
            <w:tcW w:type="dxa" w:w="2232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81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Why it is a good alternative for Diamante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Safety (LTIFR / TRIFR)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LTIFR = lost-time injuries × 1 000 000 ÷ hours worked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Number of lost-time injuries; total hours worked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injury rate per million hours worked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Deep-level mining is high-risk and a serious incident could halt a mine and threaten going concern, and it stops the cost KPI rewarding cuts to safety spend.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Local employment / procurement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Local % = host-community employees ÷ total employees × 100;  Local spend ÷ total spend × 100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Local employees and local spend; the totals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share of jobs and spending going to host communities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Rewarding local jobs and procurement mitigates Diamante’s stated risk of community unrest and riots that disrupt delivery.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Community investment (CSI)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CSI spend (Rand), or CSI ÷ pre-tax profit × 100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CSI spend; pre-tax profit; number of beneficiaries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amount invested in communities, and as a % of profit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Investing in host communities builds the social licence, though the target must be modest while the company is loss-making.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Diversity (women)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Women % = women ÷ total × 100 (workforce, management and board)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Number of women; total headcount at each level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share of women at each level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It supports King IV board and workforce diversity and South African transformation expectations in mining.</w:t>
            </w:r>
          </w:p>
        </w:tc>
      </w:tr>
    </w:tbl>
    <w:p>
      <w:pPr>
        <w:spacing w:before="180" w:after="40"/>
        <w:shd w:val="clear" w:fill="1f5b3a"/>
      </w:pPr>
      <w:r>
        <w:rPr>
          <w:b/>
          <w:color w:val="FFFFFF"/>
          <w:sz w:val="25"/>
        </w:rPr>
        <w:t>Governance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1512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ESG KPI</w:t>
            </w:r>
          </w:p>
        </w:tc>
        <w:tc>
          <w:tcPr>
            <w:tcW w:type="dxa" w:w="2232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Formula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Inputs</w:t>
            </w:r>
          </w:p>
        </w:tc>
        <w:tc>
          <w:tcPr>
            <w:tcW w:type="dxa" w:w="165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Output</w:t>
            </w:r>
          </w:p>
        </w:tc>
        <w:tc>
          <w:tcPr>
            <w:tcW w:type="dxa" w:w="3816"/>
            <w:shd w:val="clear" w:fill="1f5b3a"/>
          </w:tcPr>
          <w:p>
            <w:r/>
            <w:r>
              <w:rPr>
                <w:b/>
                <w:color w:val="FFFFFF"/>
                <w:sz w:val="16"/>
              </w:rPr>
              <w:t>Why it is a good alternative for Diamante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Ethical sourcing / traceability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Certified % = certified conflict-free production ÷ total production × 100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Certified production; total production; mixing/traceability incidents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% of production certified conflict-free, and any breaches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Traceability and never mixing mine production are central to Diamante and protect brand value and market access, because customers increasingly demand certified conflict-free diamonds.</w:t>
            </w:r>
          </w:p>
        </w:tc>
      </w:tr>
      <w:tr>
        <w:tc>
          <w:tcPr>
            <w:tcW w:type="dxa" w:w="1512"/>
          </w:tcPr>
          <w:p>
            <w:r/>
            <w:r>
              <w:rPr>
                <w:sz w:val="16"/>
              </w:rPr>
              <w:t>Ethics &amp; compliance</w:t>
            </w:r>
          </w:p>
        </w:tc>
        <w:tc>
          <w:tcPr>
            <w:tcW w:type="dxa" w:w="2232"/>
          </w:tcPr>
          <w:p>
            <w:r/>
            <w:r>
              <w:rPr>
                <w:sz w:val="16"/>
              </w:rPr>
              <w:t>No formula — count of breaches, whistleblower reports and regulatory findings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Number of compliance breaches, whistleblower reports and findings</w:t>
            </w:r>
          </w:p>
        </w:tc>
        <w:tc>
          <w:tcPr>
            <w:tcW w:type="dxa" w:w="1656"/>
          </w:tcPr>
          <w:p>
            <w:r/>
            <w:r>
              <w:rPr>
                <w:sz w:val="16"/>
              </w:rPr>
              <w:t>The number of ethics and compliance incidents</w:t>
            </w:r>
          </w:p>
        </w:tc>
        <w:tc>
          <w:tcPr>
            <w:tcW w:type="dxa" w:w="3816"/>
          </w:tcPr>
          <w:p>
            <w:r/>
            <w:r>
              <w:rPr>
                <w:sz w:val="16"/>
              </w:rPr>
              <w:t>A low number of breaches supports King IV and protects Diamante from fines and reputational damage in a business already facing scrutiny.</w:t>
            </w:r>
          </w:p>
        </w:tc>
      </w:tr>
    </w:tbl>
    <w:p>
      <w:pPr>
        <w:spacing w:before="180" w:after="40"/>
        <w:shd w:val="clear" w:fill="1f3d6b"/>
      </w:pPr>
      <w:r>
        <w:rPr>
          <w:b/>
          <w:color w:val="FFFFFF"/>
          <w:sz w:val="25"/>
        </w:rPr>
        <w:t>How Diamante should use these</w:t>
      </w:r>
    </w:p>
    <w:p>
      <w:pPr>
        <w:pStyle w:val="ListBullet"/>
        <w:spacing w:after="60"/>
      </w:pPr>
      <w:r>
        <w:rPr>
          <w:sz w:val="20"/>
        </w:rPr>
        <w:t>Replace or supplement KPI 5 with a small set of these outcome measures, prioritising safety, the emissions roadmap and water, which match Diamante’s biggest ESG risks.</w:t>
      </w:r>
    </w:p>
    <w:p>
      <w:pPr>
        <w:pStyle w:val="ListBullet"/>
        <w:spacing w:after="60"/>
      </w:pPr>
      <w:r>
        <w:rPr>
          <w:sz w:val="20"/>
        </w:rPr>
        <w:t>Report each KPI against a clear target and, where useful, map it to the relevant Sustainable Development Goal, so the disclosure shows real performance rather than a rating.</w:t>
      </w:r>
    </w:p>
    <w:p>
      <w:pPr>
        <w:pStyle w:val="ListBullet"/>
        <w:spacing w:after="60"/>
      </w:pPr>
      <w:r>
        <w:rPr>
          <w:sz w:val="20"/>
        </w:rPr>
        <w:t>Weight them modestly in the scheme, and pair the cost and cash KPIs with the safety and rehabilitation measures so managers cannot boost cash by cutting essential spend.</w:t>
      </w:r>
    </w:p>
    <w:p>
      <w:pPr>
        <w:spacing w:after="80"/>
      </w:pPr>
      <w:r>
        <w:rPr>
          <w:i/>
          <w:sz w:val="17"/>
        </w:rPr>
        <w:t>Formulas use standard ESG conventions; per-carat, safety and emissions figures require production and sustainability data that Diamante does not disclose in the pre-release and that should be requested.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