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color w:val="1F2937"/>
          <w:sz w:val="32"/>
          <w:szCs w:val="32"/>
        </w:rPr>
        <w:t>APC 2026 August QE (Diamante Ltd) — Pre-release Triggers</w:t>
      </w:r>
    </w:p>
    <w:p>
      <w:pPr>
        <w:spacing w:after="240"/>
      </w:pPr>
      <w:r>
        <w:rPr>
          <w:i/>
          <w:iCs/>
          <w:color w:val="595959"/>
          <w:sz w:val="20"/>
          <w:szCs w:val="20"/>
        </w:rPr>
        <w:t xml:space="preserve">High-level summary of the main triggers per page of the pre-release scenario, followed by a trigger mind map for exam focus.</w:t>
      </w:r>
    </w:p>
    <w:p>
      <w:pPr>
        <w:pStyle w:val="Heading2"/>
        <w:spacing w:after="120"/>
      </w:pPr>
      <w:r>
        <w:rPr>
          <w:b/>
          <w:bCs/>
          <w:color w:val="1F2937"/>
          <w:sz w:val="24"/>
          <w:szCs w:val="24"/>
        </w:rPr>
        <w:t xml:space="preserve">Part 1 — Main triggers, page by page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300"/>
        <w:gridCol w:w="1700"/>
      </w:tblGrid>
      <w:tr>
        <w:trPr>
          <w:tblHeader/>
        </w:trPr>
        <w:tc>
          <w:tcPr>
            <w:tcW w:type="dxa" w:w="700"/>
            <w:tcBorders>
              <w:top w:val="single" w:color="BFBFBF" w:sz="4"/>
              <w:left w:val="single" w:color="BFBFBF" w:sz="4"/>
              <w:bottom w:val="single" w:color="BFBFBF" w:sz="4"/>
              <w:right w:val="single" w:color="BFBFBF" w:sz="4"/>
            </w:tcBorders>
            <w:shd w:fill="E5E7EB" w:color="auto" w:val="clear"/>
            <w:tcMar>
              <w:top w:type="dxa" w:w="100"/>
              <w:left w:type="dxa" w:w="120"/>
              <w:bottom w:type="dxa" w:w="100"/>
              <w:right w:type="dxa" w:w="120"/>
            </w:tcMar>
            <w:vAlign w:val="center"/>
          </w:tcPr>
          <w:p>
            <w:r>
              <w:rPr>
                <w:b/>
                <w:bCs/>
                <w:color w:val="1F2937"/>
                <w:sz w:val="20"/>
                <w:szCs w:val="20"/>
              </w:rPr>
              <w:t xml:space="preserve">Pg</w:t>
            </w:r>
          </w:p>
        </w:tc>
        <w:tc>
          <w:tcPr>
            <w:tcW w:type="dxa" w:w="2100"/>
            <w:tcBorders>
              <w:top w:val="single" w:color="BFBFBF" w:sz="4"/>
              <w:left w:val="single" w:color="BFBFBF" w:sz="4"/>
              <w:bottom w:val="single" w:color="BFBFBF" w:sz="4"/>
              <w:right w:val="single" w:color="BFBFBF" w:sz="4"/>
            </w:tcBorders>
            <w:shd w:fill="E5E7EB" w:color="auto" w:val="clear"/>
            <w:tcMar>
              <w:top w:type="dxa" w:w="100"/>
              <w:left w:type="dxa" w:w="120"/>
              <w:bottom w:type="dxa" w:w="100"/>
              <w:right w:type="dxa" w:w="120"/>
            </w:tcMar>
            <w:vAlign w:val="center"/>
          </w:tcPr>
          <w:p>
            <w:r>
              <w:rPr>
                <w:b/>
                <w:bCs/>
                <w:color w:val="1F2937"/>
                <w:sz w:val="20"/>
                <w:szCs w:val="20"/>
              </w:rPr>
              <w:t xml:space="preserve">Section / document</w:t>
            </w:r>
          </w:p>
        </w:tc>
        <w:tc>
          <w:tcPr>
            <w:tcW w:type="dxa" w:w="6300"/>
            <w:tcBorders>
              <w:top w:val="single" w:color="BFBFBF" w:sz="4"/>
              <w:left w:val="single" w:color="BFBFBF" w:sz="4"/>
              <w:bottom w:val="single" w:color="BFBFBF" w:sz="4"/>
              <w:right w:val="single" w:color="BFBFBF" w:sz="4"/>
            </w:tcBorders>
            <w:shd w:fill="E5E7EB" w:color="auto" w:val="clear"/>
            <w:tcMar>
              <w:top w:type="dxa" w:w="100"/>
              <w:left w:type="dxa" w:w="120"/>
              <w:bottom w:type="dxa" w:w="100"/>
              <w:right w:type="dxa" w:w="120"/>
            </w:tcMar>
            <w:vAlign w:val="center"/>
          </w:tcPr>
          <w:p>
            <w:r>
              <w:rPr>
                <w:b/>
                <w:bCs/>
                <w:color w:val="1F2937"/>
                <w:sz w:val="20"/>
                <w:szCs w:val="20"/>
              </w:rPr>
              <w:t xml:space="preserve">Main triggers on the page</w:t>
            </w:r>
          </w:p>
        </w:tc>
        <w:tc>
          <w:tcPr>
            <w:tcW w:type="dxa" w:w="1700"/>
            <w:tcBorders>
              <w:top w:val="single" w:color="BFBFBF" w:sz="4"/>
              <w:left w:val="single" w:color="BFBFBF" w:sz="4"/>
              <w:bottom w:val="single" w:color="BFBFBF" w:sz="4"/>
              <w:right w:val="single" w:color="BFBFBF" w:sz="4"/>
            </w:tcBorders>
            <w:shd w:fill="E5E7EB" w:color="auto" w:val="clear"/>
            <w:tcMar>
              <w:top w:type="dxa" w:w="100"/>
              <w:left w:type="dxa" w:w="120"/>
              <w:bottom w:type="dxa" w:w="100"/>
              <w:right w:type="dxa" w:w="120"/>
            </w:tcMar>
            <w:vAlign w:val="center"/>
          </w:tcPr>
          <w:p>
            <w:r>
              <w:rPr>
                <w:b/>
                <w:bCs/>
                <w:color w:val="1F2937"/>
                <w:sz w:val="20"/>
                <w:szCs w:val="20"/>
              </w:rPr>
              <w:t xml:space="preserve">Subject area</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2</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1 – Welcome email (Jackie, CFO)</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Listed SA diamond miner, 2 mines, exports (US/India/China). Diamond market slump since 2022 (weak demand, US tariffs, lab-grown competition). Product-mix weakness and rising inventory holding costs → losses. GOING CONCERN was severely compromised; refinancing of debt underway. 'Life of mines' and which capital projects to prioritise. FY2026 (30 June) reporting under uncertainty.</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Going concern · Business context · Strategy</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3–4</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Market &amp; currency (Monique)</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Functional currency is Rand but diamonds priced in US$ → foreign-currency exposure (IAS 21). IFRS 6 is specifically NOT needed. Market: US 52%, India 11% (growing 12%), China 10%. Lab-grown-diamond risk seen as reduced. Traceability / Kimberley Process → ethical sourcing &amp; controls.</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FR (IAS 21) · Ethics/controls · Business context</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3–4</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Revenue (tender process)</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Sales via a blind-auction tender (sealed bids, minimum reserve price); revenue recognised when the tender is awarded (control passes then). Private sales and rare/exceptional diamonds handled separately → IFRS 15 revenue recognition &amp; audit of revenue.</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FR (IFRS 15) · Audit</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4–5</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Re-financing</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Bank loan + shareholder loans (A &amp; B) were maturing FY2027. Bank agreed to extend to 2030 BUT only if (a) a rights issue happens and (b) shareholders A &amp; B revise their loans too. Shareholders won't write loans off but are 'open to suggestions'. Watch for UNINTENDED adverse TAX consequences of the restructuring. Special shareholder meeting needed. All ties back to going-concern reporting.</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FR (IFRS 9) · Tax · Going concern</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4</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Impairment of mines</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Falling diamond price triggered an impairment test. Each mine is its own CGU. Total impairment R963m (Mine 1 R630m; Mine 2 R333m) → IAS 36 (recoverable amount, VIU/FVLCD, discount rate, cash flows).</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FR (IAS 36) · Audit</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4</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Botswana mine sale (discontinued op)</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Sold the Botswana mine to a state-owned entity for R144m, but paid only from the mine's future cash → fair value of the consideration assessed at Rnil. Derecognising the mine's net liabilities gave a R405m profit. Discontinued operation. → IFRS 5 / derecognition / measuring deferred consideration.</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FR (IFRS 5) · Audit</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5</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Strategy &amp; Environment/Climate</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Strategy = 'value-led production' (quality over quantity) and defer tenders when prices are weak. Environmental risks (tailings, rehabilitation → provisions IAS 37) and climate risks (carbon tax, physical/transition). Scenario analysis; GHG roadmap (35–40% cut in Scope 1&amp;2 by 2030) → ESG/sustainability reporting.</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Strategy · ESG · FR (IAS 37)</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6</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2 – Remuneration, dividends, auditor</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Staff bonuses PAUSED until refinancing resolved; a new long-term incentive scheme is being tabled (see Doc 5). No dividends for 2 years. Auditor is KZL Inc.</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Governance · Audit</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7–8</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Slides – Ownership &amp; Board</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Shareholder A 36%, B 18%, C 5%, D 5%, rest &lt;3%. A &amp; B are ALSO the lenders → related parties. Three directors are appointed by shareholders; board has a CEO, CFO and an independent non-exec chair → independence &amp; governance (King IV).</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Governance · Related parties · Audit</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8–10</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Slides – Key risks &amp; Financials</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Five key risks: diamond price, currency volatility, liquidity, geological/equipment failure, environmental. Balance sheet: loans reclassified to CURRENT (R2,925m current vs Rnil non-current) → going-concern flag; deferred tax fell R639m→R45m; accumulated loss grew; equity almost halved. → ratio/trend analysis.</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Analysis · Going concern · Business risk</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11</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3 – Accounting matters</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Will need help with some revenue items, and with the accounting for proposals about the FUTURE OF MINE 2 (details to come) → likely closure / held-for-sale / restructuring / impairment reversal.</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FR (IAS 36 / IFRS 5)</w:t>
            </w:r>
          </w:p>
        </w:tc>
      </w:tr>
      <w:tr>
        <w:trPr>
          <w:cantSplit/>
        </w:trPr>
        <w:tc>
          <w:tcPr>
            <w:tcW w:type="dxa" w:w="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12–13</w:t>
            </w:r>
          </w:p>
        </w:tc>
        <w:tc>
          <w:tcPr>
            <w:tcW w:type="dxa" w:w="21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Doc 4 – Mine Optimisation review</w:t>
            </w:r>
          </w:p>
        </w:tc>
        <w:tc>
          <w:tcPr>
            <w:tcW w:type="dxa" w:w="63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Capital is constrained. A geologist's reassessment found TWO development blocks in Mine 1 with different quality, geological certainty, capital needed and value. Can't do both → an initial screening to pick which to prioritise. → CAPITAL BUDGETING / investment appraisal under uncertainty (NPV, relevant costs, risk, qualitative factors).</w:t>
            </w:r>
          </w:p>
        </w:tc>
        <w:tc>
          <w:tcPr>
            <w:tcW w:type="dxa" w:w="1700"/>
            <w:tcBorders>
              <w:top w:val="single" w:color="BFBFBF" w:sz="4"/>
              <w:left w:val="single" w:color="BFBFBF" w:sz="4"/>
              <w:bottom w:val="single" w:color="BFBFBF" w:sz="4"/>
              <w:right w:val="single" w:color="BFBFBF" w:sz="4"/>
            </w:tcBorders>
            <w:tcMar>
              <w:top w:type="dxa" w:w="260"/>
              <w:left w:type="dxa" w:w="120"/>
              <w:bottom w:type="dxa" w:w="260"/>
              <w:right w:type="dxa" w:w="120"/>
            </w:tcMar>
            <w:vAlign w:val="top"/>
          </w:tcPr>
          <w:p>
            <w:r/>
            <w:r>
              <w:rPr>
                <w:sz w:val="18"/>
              </w:rPr>
              <w:t>MDMC (capital budgeting) · Strategy</w:t>
            </w:r>
          </w:p>
        </w:tc>
      </w:tr>
      <w:tr>
        <w:tc>
          <w:tcPr>
            <w:tcW w:type="dxa" w:w="700"/>
          </w:tcPr>
          <w:p>
            <w:r/>
            <w:r>
              <w:rPr>
                <w:sz w:val="18"/>
              </w:rPr>
              <w:t>14</w:t>
            </w:r>
          </w:p>
        </w:tc>
        <w:tc>
          <w:tcPr>
            <w:tcW w:type="dxa" w:w="2100"/>
          </w:tcPr>
          <w:p>
            <w:r/>
            <w:r>
              <w:rPr>
                <w:sz w:val="18"/>
              </w:rPr>
              <w:t>Doc 5 – Performance bonuses (Lavashni, INED)</w:t>
            </w:r>
          </w:p>
        </w:tc>
        <w:tc>
          <w:tcPr>
            <w:tcW w:type="dxa" w:w="6300"/>
          </w:tcPr>
          <w:p>
            <w:r/>
            <w:r>
              <w:rPr>
                <w:sz w:val="18"/>
              </w:rPr>
              <w:t>AGM dissent about remuneration. New long-term incentive = shares worth a multiple of salary (3–5×); number of shares set at the vesting date using the share price then; vests annually over 3 years if KPIs met. 5 KPIs (cost growth &lt; inflation, net-profit growth ≥5%, high-value diamonds %, inventory reduction, integrated-reporting rating). → IFRS 2 share-based payment + remuneration governance (King IV) + KPI design/gaming.</w:t>
            </w:r>
          </w:p>
        </w:tc>
        <w:tc>
          <w:tcPr>
            <w:tcW w:type="dxa" w:w="1700"/>
          </w:tcPr>
          <w:p>
            <w:r/>
            <w:r>
              <w:rPr>
                <w:sz w:val="18"/>
              </w:rPr>
              <w:t>FR (IFRS 2) · Governance · Ethics</w:t>
            </w:r>
          </w:p>
        </w:tc>
      </w:tr>
    </w:tbl>
    <w:p>
      <w:pPr>
        <w:spacing w:before="200"/>
      </w:pPr>
      <w:r>
        <w:t xml:space="preserve"/>
      </w:r>
    </w:p>
    <w:p>
      <w:pPr>
        <w:jc w:val="center"/>
      </w:pPr>
      <w:r>
        <w:rPr>
          <w:b w:val="0"/>
          <w:color w:val="595959"/>
          <w:sz w:val="18"/>
          <w:szCs w:val="18"/>
        </w:rPr>
        <w:t>Cross-cutting themes running through the whole pack: GOING CONCERN (the big one – refinancing, loans now current, losses) · the refinancing package (bank + shareholder loans + rights issue) and its TAX angle · impairment across the mines · foreign currency (US$ vs Rand) · related parties (Shareholders A &amp; B are also lenders and board-linked) · ESG / climate &amp; sustainability reporting · ethics (diamond traceability, remuneration) · listed-company King IV governance · heavy use of estimates &amp; experts · a newly-qualified CA doing the work under time pressure.</w:t>
      </w:r>
    </w:p>
    <w:p>
      <w:pPr>
        <w:pStyle w:val="Heading2"/>
        <w:spacing w:after="120" w:before="400"/>
      </w:pPr>
      <w:r>
        <w:rPr>
          <w:b/>
          <w:bCs/>
          <w:color w:val="1F2937"/>
          <w:sz w:val="24"/>
          <w:szCs w:val="24"/>
        </w:rPr>
        <w:t xml:space="preserve">Part 2 — Trigger mind map (exam focus)</w:t>
      </w:r>
    </w:p>
    <w:p>
      <w:pPr>
        <w:spacing w:after="120"/>
      </w:pPr>
      <w:r>
        <w:rPr>
          <w:b/>
          <w:i/>
          <w:iCs/>
          <w:color w:val="808080"/>
          <w:sz w:val="20"/>
          <w:szCs w:val="20"/>
        </w:rPr>
        <w:t>DIAMANTE – APC 2026 (main triggers → sub-triggers to focus on)</w:t>
      </w:r>
    </w:p>
    <w:p>
      <w:pPr>
        <w:spacing w:after="120"/>
      </w:pPr>
      <w:r>
        <w:rPr>
          <w:b/>
          <w:sz w:val="20"/>
        </w:rPr>
        <w:t>1. Going concern (pervasive)</w:t>
      </w:r>
    </w:p>
    <w:p>
      <w:pPr>
        <w:spacing w:after="120"/>
      </w:pPr>
      <w:r>
        <w:rPr>
          <w:b w:val="0"/>
          <w:sz w:val="20"/>
        </w:rPr>
        <w:t xml:space="preserve">     Losses, loans reclassified to current, refinancing not yet finalised; assess management's assessment, the disclosures, and the audit going-concern response.</w:t>
      </w:r>
    </w:p>
    <w:p>
      <w:pPr>
        <w:spacing w:after="120"/>
      </w:pPr>
      <w:r>
        <w:rPr>
          <w:b/>
          <w:sz w:val="20"/>
        </w:rPr>
        <w:t>2. Refinancing package</w:t>
      </w:r>
    </w:p>
    <w:p>
      <w:pPr>
        <w:spacing w:after="120"/>
      </w:pPr>
      <w:r>
        <w:rPr>
          <w:b w:val="0"/>
          <w:sz w:val="20"/>
        </w:rPr>
        <w:t xml:space="preserve">     Bank extension to 2030 (needs rights issue + shareholders revising loans); IFRS 9 loan modification vs derecognition; rights issue (equity); shareholder-loan restructure.</w:t>
      </w:r>
    </w:p>
    <w:p>
      <w:pPr>
        <w:spacing w:after="120"/>
      </w:pPr>
      <w:r>
        <w:rPr>
          <w:b w:val="0"/>
          <w:sz w:val="20"/>
        </w:rPr>
        <w:t xml:space="preserve">     Tax: 'no unintended adverse tax' – s19 &amp; para 12A debt benefit, s24J interest, s8F/hybrid, connected persons.</w:t>
      </w:r>
    </w:p>
    <w:p>
      <w:pPr>
        <w:spacing w:after="120"/>
      </w:pPr>
      <w:r>
        <w:rPr>
          <w:b/>
          <w:sz w:val="20"/>
        </w:rPr>
        <w:t>3. Impairment of mines (IAS 36)</w:t>
      </w:r>
    </w:p>
    <w:p>
      <w:pPr>
        <w:spacing w:after="120"/>
      </w:pPr>
      <w:r>
        <w:rPr>
          <w:b w:val="0"/>
          <w:sz w:val="20"/>
        </w:rPr>
        <w:t xml:space="preserve">     Each mine a CGU; R963m loss; recoverable amount (VIU vs FVLCD), discount rate, cash flows; possible reversal for Mine 2.</w:t>
      </w:r>
    </w:p>
    <w:p>
      <w:pPr>
        <w:spacing w:after="120"/>
      </w:pPr>
      <w:r>
        <w:rPr>
          <w:b/>
          <w:sz w:val="20"/>
        </w:rPr>
        <w:t>4. Botswana mine – discontinued operation</w:t>
      </w:r>
    </w:p>
    <w:p>
      <w:pPr>
        <w:spacing w:after="120"/>
      </w:pPr>
      <w:r>
        <w:rPr>
          <w:b w:val="0"/>
          <w:sz w:val="20"/>
        </w:rPr>
        <w:t xml:space="preserve">     IFRS 5 discontinued op; derecognition of net liabilities; deferred consideration at Rnil fair value; R405m profit – is it appropriate?</w:t>
      </w:r>
    </w:p>
    <w:p>
      <w:pPr>
        <w:spacing w:after="120"/>
      </w:pPr>
      <w:r>
        <w:rPr>
          <w:b/>
          <w:sz w:val="20"/>
        </w:rPr>
        <w:t>5. Revenue (IFRS 15)</w:t>
      </w:r>
    </w:p>
    <w:p>
      <w:pPr>
        <w:spacing w:after="120"/>
      </w:pPr>
      <w:r>
        <w:rPr>
          <w:b w:val="0"/>
          <w:sz w:val="20"/>
        </w:rPr>
        <w:t xml:space="preserve">     Tender/blind-auction; control passes when tender awarded; minimum reserve price; private sales; rare diamonds; audit of revenue.</w:t>
      </w:r>
    </w:p>
    <w:p>
      <w:pPr>
        <w:spacing w:after="120"/>
      </w:pPr>
      <w:r>
        <w:rPr>
          <w:b/>
          <w:sz w:val="20"/>
        </w:rPr>
        <w:t>6. Mine 2 future &amp; Mine optimisation (MDMC)</w:t>
      </w:r>
    </w:p>
    <w:p>
      <w:pPr>
        <w:spacing w:after="120"/>
      </w:pPr>
      <w:r>
        <w:rPr>
          <w:b w:val="0"/>
          <w:sz w:val="20"/>
        </w:rPr>
        <w:t xml:space="preserve">     Capital budgeting under constrained capital; two development blocks – screen on value, certainty, capital, risk; NPV + qualitative factors; Mine 2 closure/held-for-sale accounting.</w:t>
      </w:r>
    </w:p>
    <w:p>
      <w:pPr>
        <w:spacing w:after="120"/>
      </w:pPr>
      <w:r>
        <w:rPr>
          <w:b/>
          <w:sz w:val="20"/>
        </w:rPr>
        <w:t>7. Long-term incentive scheme (IFRS 2)</w:t>
      </w:r>
    </w:p>
    <w:p>
      <w:pPr>
        <w:spacing w:after="120"/>
      </w:pPr>
      <w:r>
        <w:rPr>
          <w:b w:val="0"/>
          <w:sz w:val="20"/>
        </w:rPr>
        <w:t xml:space="preserve">     Equity-settled shares, number set at vesting on share price; 3-year vesting with KPIs; remuneration governance (King IV), AGM dissent, KPI design/gaming.</w:t>
      </w:r>
    </w:p>
    <w:p>
      <w:pPr>
        <w:spacing w:after="120"/>
      </w:pPr>
      <w:r>
        <w:rPr>
          <w:b/>
          <w:sz w:val="20"/>
        </w:rPr>
        <w:t>8. Other technical</w:t>
      </w:r>
    </w:p>
    <w:p>
      <w:pPr>
        <w:spacing w:after="120"/>
      </w:pPr>
      <w:r>
        <w:rPr>
          <w:b w:val="0"/>
          <w:sz w:val="20"/>
        </w:rPr>
        <w:t xml:space="preserve">     Foreign currency (IAS 21); provisions/rehabilitation (IAS 37); deferred tax (IAS 12) movement; IFRS 6 explicitly excluded.</w:t>
      </w:r>
    </w:p>
    <w:p>
      <w:pPr>
        <w:spacing w:after="120"/>
      </w:pPr>
      <w:r>
        <w:rPr>
          <w:b/>
          <w:sz w:val="20"/>
        </w:rPr>
        <w:t>9. Business context / strategy / ethics / ESG</w:t>
      </w:r>
    </w:p>
    <w:p>
      <w:pPr>
        <w:spacing w:after="120"/>
      </w:pPr>
      <w:r>
        <w:rPr>
          <w:b w:val="0"/>
          <w:sz w:val="20"/>
        </w:rPr>
        <w:t xml:space="preserve">     Diamond-market slump &amp; recovery, lab-grown diamonds, US tariffs; value-led production &amp; deferring tenders; traceability/Kimberley Process ethics; related parties; climate &amp; sustainability reporting; King IV governance &amp; board independence.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2026-07-31T06:02:48.882Z</dcterms:created>
  <dcterms:modified xsi:type="dcterms:W3CDTF">2026-07-31T06:02:48.934Z</dcterms:modified>
</cp:coreProperties>
</file>

<file path=docProps/custom.xml><?xml version="1.0" encoding="utf-8"?>
<Properties xmlns="http://schemas.openxmlformats.org/officeDocument/2006/custom-properties" xmlns:vt="http://schemas.openxmlformats.org/officeDocument/2006/docPropsVTypes"/>
</file>