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D6B"/>
          <w:sz w:val="30"/>
        </w:rPr>
        <w:t>Investment and Funding Decisions — Detailed Discussion Framework</w:t>
      </w:r>
    </w:p>
    <w:p>
      <w:pPr>
        <w:spacing w:after="120"/>
      </w:pPr>
      <w:r>
        <w:rPr>
          <w:b w:val="0"/>
          <w:i/>
          <w:sz w:val="19"/>
        </w:rPr>
        <w:t>Applied to Axion, a South African data-centre business that also provides interconnection services. Written in IAC discussion style: each point states the concept, gives a brief explanation of what it means, applies it to Axion, and links it to the overall impact on the business (profitability, financial position, value or risk).</w:t>
      </w:r>
    </w:p>
    <w:tbl>
      <w:tblPr>
        <w:tblStyle w:val="TableGrid"/>
        <w:tblW w:type="auto" w:w="0"/>
        <w:tblLook w:firstColumn="1" w:firstRow="1" w:lastColumn="0" w:lastRow="0" w:noHBand="0" w:noVBand="1" w:val="04A0"/>
      </w:tblPr>
      <w:tblGrid>
        <w:gridCol w:w="10368"/>
      </w:tblGrid>
      <w:tr>
        <w:tc>
          <w:tcPr>
            <w:tcW w:type="dxa" w:w="10368"/>
            <w:shd w:val="clear" w:fill="eef2f8"/>
          </w:tcPr>
          <w:p>
            <w:r/>
            <w:r>
              <w:rPr>
                <w:i/>
                <w:sz w:val="18"/>
              </w:rPr>
              <w:t>How to read each point:  Concept:  brief meaning of the concept  →  application to Axion (a data centre and interconnection provider)  →  why it matters / the overall impact on the business. The last part is the “so what” that turns a listed factor into a competent discussion.</w:t>
            </w:r>
          </w:p>
        </w:tc>
      </w:tr>
    </w:tbl>
    <w:p>
      <w:pPr>
        <w:spacing w:before="240" w:after="80"/>
        <w:shd w:val="clear" w:fill="1f3d6b"/>
      </w:pPr>
      <w:r>
        <w:rPr>
          <w:b/>
          <w:color w:val="FFFFFF"/>
          <w:sz w:val="26"/>
        </w:rPr>
        <w:t>PART A — MAKING THE INVESTMENT DECISION</w:t>
      </w:r>
    </w:p>
    <w:p>
      <w:pPr>
        <w:spacing w:after="120"/>
      </w:pPr>
      <w:r>
        <w:rPr>
          <w:b w:val="0"/>
          <w:i w:val="0"/>
          <w:sz w:val="19"/>
        </w:rPr>
        <w:t>An investment-decision discussion must weigh the strategic fit, the financial return, the risks, and the practical ability to deliver the project. A competent answer never recommends a project on financial numbers alone, and never rejects one on strategy alone; it brings the strands together and concludes.</w:t>
      </w:r>
    </w:p>
    <w:p>
      <w:pPr>
        <w:spacing w:before="160" w:after="40"/>
      </w:pPr>
      <w:r>
        <w:rPr>
          <w:b/>
          <w:color w:val="1F3D6B"/>
          <w:sz w:val="22"/>
        </w:rPr>
        <w:t>1. Strategic factors (does the project fit what the business is trying to become?)</w:t>
      </w:r>
    </w:p>
    <w:p>
      <w:pPr>
        <w:pStyle w:val="ListBullet"/>
        <w:spacing w:after="80"/>
      </w:pPr>
      <w:r>
        <w:rPr>
          <w:b/>
          <w:sz w:val="20"/>
        </w:rPr>
        <w:t xml:space="preserve">Strategic alignment: </w:t>
      </w:r>
      <w:r>
        <w:rPr>
          <w:sz w:val="20"/>
        </w:rPr>
        <w:t>this means whether the project supports the direction and long-term goals the business has already chosen. Buying additional chillers to expand the cooling capacity of a data centre allows Axion to contract out more of its installed megawatts, which directly supports Axion’s GROW and CONNECT priorities of expanding capacity and deepening its interconnection ecosystem. This matters because investment that is aligned to strategy is more likely to be supported by the board and to build long-term, sustainable earnings rather than a once-off gain.</w:t>
      </w:r>
    </w:p>
    <w:p>
      <w:pPr>
        <w:pStyle w:val="ListBullet"/>
        <w:spacing w:after="80"/>
      </w:pPr>
      <w:r>
        <w:rPr>
          <w:b/>
          <w:sz w:val="20"/>
        </w:rPr>
        <w:t xml:space="preserve">Competitive advantage and positioning: </w:t>
      </w:r>
      <w:r>
        <w:rPr>
          <w:sz w:val="20"/>
        </w:rPr>
        <w:t>this means whether the project strengthens something the business does better than its rivals. Expanding a facility in a location where Axion already has an interconnected ecosystem increases the density of customers and networks that can connect to one another, which competitors cannot easily replicate. This matters because a stronger competitive position protects pricing and customer retention, which supports future revenue and profitability.</w:t>
      </w:r>
    </w:p>
    <w:p>
      <w:pPr>
        <w:pStyle w:val="ListBullet"/>
        <w:spacing w:after="80"/>
      </w:pPr>
      <w:r>
        <w:rPr>
          <w:b/>
          <w:sz w:val="20"/>
        </w:rPr>
        <w:t xml:space="preserve">Core competency and capability fit: </w:t>
      </w:r>
      <w:r>
        <w:rPr>
          <w:sz w:val="20"/>
        </w:rPr>
        <w:t>this means whether the project uses the skills and assets the business already has. Building additional colocation capacity uses Axion’s existing expertise in power, cooling and resilient facility management, so the project plays to its strengths. This matters because staying close to core competencies lowers execution risk and improves the chance the project delivers the returns forecast.</w:t>
      </w:r>
    </w:p>
    <w:p>
      <w:pPr>
        <w:pStyle w:val="ListBullet"/>
        <w:spacing w:after="80"/>
      </w:pPr>
      <w:r>
        <w:rPr>
          <w:b/>
          <w:sz w:val="20"/>
        </w:rPr>
        <w:t xml:space="preserve">Market demand and growth outlook: </w:t>
      </w:r>
      <w:r>
        <w:rPr>
          <w:sz w:val="20"/>
        </w:rPr>
        <w:t>this means whether there is genuine, durable demand for what the project produces. Cloud adoption, artificial intelligence workloads and Africa’s growing digital economy are expected to increase demand for data-centre capacity, which supports investing in more megawatts. This matters because real demand is what converts capacity into contracted, cash-generating revenue, but the analyst must challenge whether that demand can actually be signed into contracts rather than merely assumed.</w:t>
      </w:r>
    </w:p>
    <w:p>
      <w:pPr>
        <w:pStyle w:val="ListBullet"/>
        <w:spacing w:after="80"/>
      </w:pPr>
      <w:r>
        <w:rPr>
          <w:b/>
          <w:sz w:val="20"/>
        </w:rPr>
        <w:t xml:space="preserve">Long-term versus short-term horizon: </w:t>
      </w:r>
      <w:r>
        <w:rPr>
          <w:sz w:val="20"/>
        </w:rPr>
        <w:t>this means matching the time horizon of the decision to the nature of the asset. A data centre is a long-life asset contracted on three-to-five-year colocation agreements, so it must be judged on long-term value creation rather than the first year’s profit. This matters because a project can reduce short-term profit while significantly increasing long-term shareholder value, and the decision should reflect that.</w:t>
      </w:r>
    </w:p>
    <w:p>
      <w:pPr>
        <w:pStyle w:val="ListBullet"/>
        <w:spacing w:after="80"/>
      </w:pPr>
      <w:r>
        <w:rPr>
          <w:b/>
          <w:sz w:val="20"/>
        </w:rPr>
        <w:t xml:space="preserve">Scalability and optionality (phased roll-out and real options): </w:t>
      </w:r>
      <w:r>
        <w:rPr>
          <w:sz w:val="20"/>
        </w:rPr>
        <w:t>this means whether the investment can be built in stages and expanded or paused as demand appears. Axion states that JHB4 will be brought into service in phases as customer capacity is contracted, so capital can be committed in tranches instead of all at once. This matters because phasing reduces the risk of building capacity that is never contracted, preserves cash, and keeps the option to expand if demand is confirmed, which protects the financial position.</w:t>
      </w:r>
    </w:p>
    <w:p>
      <w:pPr>
        <w:pStyle w:val="ListBullet"/>
        <w:spacing w:after="80"/>
      </w:pPr>
      <w:r>
        <w:rPr>
          <w:b/>
          <w:sz w:val="20"/>
        </w:rPr>
        <w:t xml:space="preserve">Customer proposition and reputation: </w:t>
      </w:r>
      <w:r>
        <w:rPr>
          <w:sz w:val="20"/>
        </w:rPr>
        <w:t>this means whether the project protects the promise the business sells to customers. Investing in redundant power, cooling and backup supports Axion’s 99.999% availability target, which is central to why customers choose it. This matters because reliability underpins the entire revenue base, and an outage could damage contracts, reputation, provisions and future sales.</w:t>
      </w:r>
    </w:p>
    <w:p>
      <w:pPr>
        <w:pStyle w:val="ListBullet"/>
        <w:spacing w:after="80"/>
      </w:pPr>
      <w:r>
        <w:rPr>
          <w:b/>
          <w:sz w:val="20"/>
        </w:rPr>
        <w:t xml:space="preserve">ESG and sustainability: </w:t>
      </w:r>
      <w:r>
        <w:rPr>
          <w:sz w:val="20"/>
        </w:rPr>
        <w:t>this means the environmental, social and governance consequences of the project. Investing in on-site solar or a renewable power-purchase agreement reduces Axion’s reliance on the grid and its carbon footprint, which increasingly matters to large global cloud customers. This matters because strong ESG credentials can win contracts, reduce long-term power cost and risk, and support the licence to operate, all of which feed future profitability.</w:t>
      </w:r>
    </w:p>
    <w:p>
      <w:pPr>
        <w:spacing w:before="160" w:after="40"/>
      </w:pPr>
      <w:r>
        <w:rPr>
          <w:b/>
          <w:color w:val="1F3D6B"/>
          <w:sz w:val="22"/>
        </w:rPr>
        <w:t>2. Financial evaluation (does the project create value?)</w:t>
      </w:r>
    </w:p>
    <w:p>
      <w:pPr>
        <w:pStyle w:val="ListBullet"/>
        <w:spacing w:after="80"/>
      </w:pPr>
      <w:r>
        <w:rPr>
          <w:b/>
          <w:sz w:val="20"/>
        </w:rPr>
        <w:t xml:space="preserve">Net present value (NPV): </w:t>
      </w:r>
      <w:r>
        <w:rPr>
          <w:sz w:val="20"/>
        </w:rPr>
        <w:t>this means the value the project adds today after discounting all its future cash flows at the required return. Axion should appraise a capacity expansion on its incremental pre-tax cash flows discounted at a project-specific pre-tax rate, and accept it only if the NPV is positive. This matters because a positive NPV means the project earns more than the cost of the capital used to fund it, which directly increases shareholder value.</w:t>
      </w:r>
    </w:p>
    <w:p>
      <w:pPr>
        <w:pStyle w:val="ListBullet"/>
        <w:spacing w:after="80"/>
      </w:pPr>
      <w:r>
        <w:rPr>
          <w:b/>
          <w:sz w:val="20"/>
        </w:rPr>
        <w:t xml:space="preserve">Incremental and relevant cash flows: </w:t>
      </w:r>
      <w:r>
        <w:rPr>
          <w:sz w:val="20"/>
        </w:rPr>
        <w:t>this means only the cash flows that change because the project goes ahead. For extra chillers, the relevant flows are the additional colocation and power-recovery revenue from the newly contracted megawatts, less the additional power, cooling and maintenance costs. This matters because using only incremental flows keeps the appraisal honest and avoids justifying a project with revenue or costs that would have existed anyway.</w:t>
      </w:r>
    </w:p>
    <w:p>
      <w:pPr>
        <w:pStyle w:val="ListBullet"/>
        <w:spacing w:after="80"/>
      </w:pPr>
      <w:r>
        <w:rPr>
          <w:b/>
          <w:sz w:val="20"/>
        </w:rPr>
        <w:t xml:space="preserve">Sunk costs and non-incremental overheads (what to exclude): </w:t>
      </w:r>
      <w:r>
        <w:rPr>
          <w:sz w:val="20"/>
        </w:rPr>
        <w:t>this means costs already spent, or costs that do not change with the project, must be left out. Feasibility or design work already paid for is a sunk cost and is ignored, and a share of existing head-office overhead that will not increase is excluded. This matters because including irrelevant costs understates the true return and can wrongly cause a value-adding project to be rejected.</w:t>
      </w:r>
    </w:p>
    <w:p>
      <w:pPr>
        <w:pStyle w:val="ListBullet"/>
        <w:spacing w:after="80"/>
      </w:pPr>
      <w:r>
        <w:rPr>
          <w:b/>
          <w:sz w:val="20"/>
        </w:rPr>
        <w:t xml:space="preserve">Opportunity cost: </w:t>
      </w:r>
      <w:r>
        <w:rPr>
          <w:sz w:val="20"/>
        </w:rPr>
        <w:t>this means the value given up by using a resource the business already owns. If Axion builds on its undeveloped site, the appraisal must include the market value or alternative use forgone by not selling or leasing that land. This matters because ignoring opportunity cost overstates the project’s return and can lead to a poor allocation of scarce capital.</w:t>
      </w:r>
    </w:p>
    <w:p>
      <w:pPr>
        <w:pStyle w:val="ListBullet"/>
        <w:spacing w:after="80"/>
      </w:pPr>
      <w:r>
        <w:rPr>
          <w:b/>
          <w:sz w:val="20"/>
        </w:rPr>
        <w:t xml:space="preserve">Pre-tax versus after-tax consistency: </w:t>
      </w:r>
      <w:r>
        <w:rPr>
          <w:sz w:val="20"/>
        </w:rPr>
        <w:t>this means the cash flows and the discount rate must be on the same basis. Axion’s stated approach is to appraise projects on incremental pre-tax cash flows using a project-specific pre-tax cost of capital, so a pre-tax rate must be applied to pre-tax flows and not mixed with an after-tax model. This matters because mixing the two bases produces a meaningless NPV and an unreliable decision.</w:t>
      </w:r>
    </w:p>
    <w:p>
      <w:pPr>
        <w:pStyle w:val="ListBullet"/>
        <w:spacing w:after="80"/>
      </w:pPr>
      <w:r>
        <w:rPr>
          <w:b/>
          <w:sz w:val="20"/>
        </w:rPr>
        <w:t xml:space="preserve">Project-specific cost of capital (ungear and regear beta): </w:t>
      </w:r>
      <w:r>
        <w:rPr>
          <w:sz w:val="20"/>
        </w:rPr>
        <w:t>this means the discount rate must reflect the risk and funding of the specific project, not the group average. A comparable listed data-centre company’s beta is ungeared to remove its financing effect and regeared to the project’s own target debt-equity mix, then converted through CAPM into a required return and a project WACC. This matters because using a single group rate would over-reward risky projects and under-reward safe ones, distorting which projects are approved.</w:t>
      </w:r>
    </w:p>
    <w:p>
      <w:pPr>
        <w:pStyle w:val="ListBullet"/>
        <w:spacing w:after="80"/>
      </w:pPr>
      <w:r>
        <w:rPr>
          <w:b/>
          <w:sz w:val="20"/>
        </w:rPr>
        <w:t xml:space="preserve">Internal rate of return (IRR): </w:t>
      </w:r>
      <w:r>
        <w:rPr>
          <w:sz w:val="20"/>
        </w:rPr>
        <w:t>this means the discount rate at which the project’s NPV equals zero, compared against the required return. If the expansion’s IRR exceeds Axion’s project-specific cost of capital, it is financially attractive. This matters as a supporting check, but NPV is preferred because IRR can mislead where cash flows are unconventional or projects are mutually exclusive.</w:t>
      </w:r>
    </w:p>
    <w:p>
      <w:pPr>
        <w:pStyle w:val="ListBullet"/>
        <w:spacing w:after="80"/>
      </w:pPr>
      <w:r>
        <w:rPr>
          <w:b/>
          <w:sz w:val="20"/>
        </w:rPr>
        <w:t xml:space="preserve">Discounted payback: </w:t>
      </w:r>
      <w:r>
        <w:rPr>
          <w:sz w:val="20"/>
        </w:rPr>
        <w:t>this means how long the project takes to recover its outlay once cash flows are discounted. A shorter discounted payback on a data-centre build is reassuring given rapid technology change and Axion’s tightening liquidity. This matters because faster recovery reduces exposure to obsolescence and frees cash sooner to service debt, although payback alone ignores value created after the payback point.</w:t>
      </w:r>
    </w:p>
    <w:p>
      <w:pPr>
        <w:pStyle w:val="ListBullet"/>
        <w:spacing w:after="80"/>
      </w:pPr>
      <w:r>
        <w:rPr>
          <w:b/>
          <w:sz w:val="20"/>
        </w:rPr>
        <w:t xml:space="preserve">Profitability index: </w:t>
      </w:r>
      <w:r>
        <w:rPr>
          <w:sz w:val="20"/>
        </w:rPr>
        <w:t>this means the present value of inflows per rand of capital invested, used to rank projects when capital is limited. With a R3–R5bn programme but a larger pipeline, Axion cannot fund everything, so ranking projects by value per rand invested helps allocate capital. This matters because it directs scarce funding to the projects that create the most value for each rand committed.</w:t>
      </w:r>
    </w:p>
    <w:p>
      <w:pPr>
        <w:pStyle w:val="ListBullet"/>
        <w:spacing w:after="80"/>
      </w:pPr>
      <w:r>
        <w:rPr>
          <w:b/>
          <w:sz w:val="20"/>
        </w:rPr>
        <w:t xml:space="preserve">Tax allowances and the tax shield: </w:t>
      </w:r>
      <w:r>
        <w:rPr>
          <w:sz w:val="20"/>
        </w:rPr>
        <w:t>this means the reduction in tax the project generates through capital allowances. Renewable-generation assets may qualify for accelerated allowances under sections 12B, 12BA or 12U, and plant such as chillers and generators attracts wear-and-tear allowances, both of which improve after-tax returns. This matters because allowances bring tax relief forward and improve project cash flow, but they must only be included where eligibility is genuinely supported.</w:t>
      </w:r>
    </w:p>
    <w:p>
      <w:pPr>
        <w:pStyle w:val="ListBullet"/>
        <w:spacing w:after="80"/>
      </w:pPr>
      <w:r>
        <w:rPr>
          <w:b/>
          <w:sz w:val="20"/>
        </w:rPr>
        <w:t xml:space="preserve">Terminal or residual value: </w:t>
      </w:r>
      <w:r>
        <w:rPr>
          <w:sz w:val="20"/>
        </w:rPr>
        <w:t>this means the value of the asset or business at the end of the appraisal horizon. A data centre retains value beyond the modelling period through its ongoing contracted capacity, so a terminal value should be included where appropriate. This matters because omitting it understates the true long-term value of a long-life infrastructure asset.</w:t>
      </w:r>
    </w:p>
    <w:p>
      <w:pPr>
        <w:pStyle w:val="ListBullet"/>
        <w:spacing w:after="80"/>
      </w:pPr>
      <w:r>
        <w:rPr>
          <w:b/>
          <w:sz w:val="20"/>
        </w:rPr>
        <w:t xml:space="preserve">Inflation — nominal versus real: </w:t>
      </w:r>
      <w:r>
        <w:rPr>
          <w:sz w:val="20"/>
        </w:rPr>
        <w:t>this means treating inflation consistently in the cash flows and the rate. If power costs and contract escalations are modelled in nominal terms, a nominal discount rate must be used; if in real terms, a real rate is used. This matters because inconsistent treatment of inflation systematically distorts the NPV, which is significant given power is a large and rising cost for Axion.</w:t>
      </w:r>
    </w:p>
    <w:p>
      <w:pPr>
        <w:pStyle w:val="ListBullet"/>
        <w:spacing w:after="80"/>
      </w:pPr>
      <w:r>
        <w:rPr>
          <w:b/>
          <w:sz w:val="20"/>
        </w:rPr>
        <w:t xml:space="preserve">Sensitivity and scenario analysis: </w:t>
      </w:r>
      <w:r>
        <w:rPr>
          <w:sz w:val="20"/>
        </w:rPr>
        <w:t>this means testing how the NPV changes when key assumptions change. For a capacity expansion, the analyst should flex the contracted and utilised megawatts, the power price, the grid-connection date and the discount rate to see which drives the result. This matters because it shows how robust the decision is and identifies the risks that most threaten value, supporting a more defensible recommendation.</w:t>
      </w:r>
    </w:p>
    <w:p>
      <w:pPr>
        <w:spacing w:before="160" w:after="40"/>
      </w:pPr>
      <w:r>
        <w:rPr>
          <w:b/>
          <w:color w:val="1F3D6B"/>
          <w:sz w:val="22"/>
        </w:rPr>
        <w:t>3. Risk factors (what could stop the project delivering?)</w:t>
      </w:r>
    </w:p>
    <w:p>
      <w:pPr>
        <w:pStyle w:val="ListBullet"/>
        <w:spacing w:after="80"/>
      </w:pPr>
      <w:r>
        <w:rPr>
          <w:b/>
          <w:sz w:val="20"/>
        </w:rPr>
        <w:t xml:space="preserve">Business and operational risk: </w:t>
      </w:r>
      <w:r>
        <w:rPr>
          <w:sz w:val="20"/>
        </w:rPr>
        <w:t>this means the risk that the project’s day-to-day operations do not perform as expected. For Axion this centres on power availability, cooling efficiency and uptime, because an interruption directly affects the service customers pay for. This matters because operational failure reduces the very cash flows the NPV relies on and can trigger contract penalties.</w:t>
      </w:r>
    </w:p>
    <w:p>
      <w:pPr>
        <w:pStyle w:val="ListBullet"/>
        <w:spacing w:after="80"/>
      </w:pPr>
      <w:r>
        <w:rPr>
          <w:b/>
          <w:sz w:val="20"/>
        </w:rPr>
        <w:t xml:space="preserve">Execution and delivery risk: </w:t>
      </w:r>
      <w:r>
        <w:rPr>
          <w:sz w:val="20"/>
        </w:rPr>
        <w:t>this means the risk that the project is late, over budget or not delivered. Axion notes that grid-connection timing is critical and that drawdowns depend on the construction and contractor schedule, so delays are a real threat. This matters because a delayed grid connection pushes out revenue, extends financing cost and can impair the asset, all of which reduce value; stage gates linked to contracts, grid and funding help manage it.</w:t>
      </w:r>
    </w:p>
    <w:p>
      <w:pPr>
        <w:pStyle w:val="ListBullet"/>
        <w:spacing w:after="80"/>
      </w:pPr>
      <w:r>
        <w:rPr>
          <w:b/>
          <w:sz w:val="20"/>
        </w:rPr>
        <w:t xml:space="preserve">Financial risk and the effect on gearing: </w:t>
      </w:r>
      <w:r>
        <w:rPr>
          <w:sz w:val="20"/>
        </w:rPr>
        <w:t>this means the risk created by how the project is funded and its effect on the group. Axion’s borrowings have risen from R3.15bn to R4.85bn and interest cover has fallen from 2.04 to 1.87 times, so further debt-funded investment increases financial risk. This matters because higher gearing raises the cost of financial distress and reduces the headroom available to absorb a downturn, weakening the financial position.</w:t>
      </w:r>
    </w:p>
    <w:p>
      <w:pPr>
        <w:pStyle w:val="ListBullet"/>
        <w:spacing w:after="80"/>
      </w:pPr>
      <w:r>
        <w:rPr>
          <w:b/>
          <w:sz w:val="20"/>
        </w:rPr>
        <w:t xml:space="preserve">Country and macroeconomic risk: </w:t>
      </w:r>
      <w:r>
        <w:rPr>
          <w:sz w:val="20"/>
        </w:rPr>
        <w:t>this means risks in the wider environment the business cannot control. Operating in South Africa exposes Axion to electricity-supply constraints, load-shedding, currency movements on imported equipment and interest-rate changes. This matters because these factors affect both the cost base and the discount rate, and they should be reflected in the appraisal rather than assumed away.</w:t>
      </w:r>
    </w:p>
    <w:p>
      <w:pPr>
        <w:pStyle w:val="ListBullet"/>
        <w:spacing w:after="80"/>
      </w:pPr>
      <w:r>
        <w:rPr>
          <w:b/>
          <w:sz w:val="20"/>
        </w:rPr>
        <w:t xml:space="preserve">Customer concentration and credit risk: </w:t>
      </w:r>
      <w:r>
        <w:rPr>
          <w:sz w:val="20"/>
        </w:rPr>
        <w:t>this means dependence on a few large customers who might not pay or might leave. A large share of contracted capacity taken by a few global cloud customers creates concentration, and their loss would sharply reduce utilisation. This matters because concentrated, uncertain revenue makes the forecast cash flows less reliable and may justify a higher discount rate.</w:t>
      </w:r>
    </w:p>
    <w:p>
      <w:pPr>
        <w:pStyle w:val="ListBullet"/>
        <w:spacing w:after="80"/>
      </w:pPr>
      <w:r>
        <w:rPr>
          <w:b/>
          <w:sz w:val="20"/>
        </w:rPr>
        <w:t xml:space="preserve">Technology and obsolescence risk: </w:t>
      </w:r>
      <w:r>
        <w:rPr>
          <w:sz w:val="20"/>
        </w:rPr>
        <w:t>this means the risk that the asset becomes outdated before the end of its life. Data-centre cooling and power technology evolves, and AI workloads demand higher power densities that older designs may not support. This matters because obsolescence shortens the asset’s useful life and terminal value, and argues for phased, upgradeable investment.</w:t>
      </w:r>
    </w:p>
    <w:p>
      <w:pPr>
        <w:pStyle w:val="ListBullet"/>
        <w:spacing w:after="80"/>
      </w:pPr>
      <w:r>
        <w:rPr>
          <w:b/>
          <w:sz w:val="20"/>
        </w:rPr>
        <w:t xml:space="preserve">Regulatory and environmental risk: </w:t>
      </w:r>
      <w:r>
        <w:rPr>
          <w:sz w:val="20"/>
        </w:rPr>
        <w:t>this means the risk from laws, licences and environmental obligations. Power generation, wheeling arrangements and environmental compliance are subject to regulation that can change. This matters because regulatory change can alter the economics of a project after the decision is made, so headroom for it should be built into the analysis.</w:t>
      </w:r>
    </w:p>
    <w:p>
      <w:pPr>
        <w:spacing w:before="160" w:after="40"/>
      </w:pPr>
      <w:r>
        <w:rPr>
          <w:b/>
          <w:color w:val="1F3D6B"/>
          <w:sz w:val="22"/>
        </w:rPr>
        <w:t>4. Non-financial feasibility (can Axion actually deliver it?)</w:t>
      </w:r>
    </w:p>
    <w:p>
      <w:pPr>
        <w:pStyle w:val="ListBullet"/>
        <w:spacing w:after="80"/>
      </w:pPr>
      <w:r>
        <w:rPr>
          <w:b/>
          <w:sz w:val="20"/>
        </w:rPr>
        <w:t xml:space="preserve">Power availability and resilience: </w:t>
      </w:r>
      <w:r>
        <w:rPr>
          <w:sz w:val="20"/>
        </w:rPr>
        <w:t>this means whether reliable power exists to run the new capacity. New megawatts are worthless without secure grid supply backed by UPS, batteries, generators and, increasingly, renewable sources. This matters because power is the binding constraint on a data centre’s growth, so a project without secured power should be delayed regardless of its NPV.</w:t>
      </w:r>
    </w:p>
    <w:p>
      <w:pPr>
        <w:pStyle w:val="ListBullet"/>
        <w:spacing w:after="80"/>
      </w:pPr>
      <w:r>
        <w:rPr>
          <w:b/>
          <w:sz w:val="20"/>
        </w:rPr>
        <w:t xml:space="preserve">Land, capacity and utilisation: </w:t>
      </w:r>
      <w:r>
        <w:rPr>
          <w:sz w:val="20"/>
        </w:rPr>
        <w:t>this means whether the physical capacity and utilisation support the project. At FY2026 Axion had 45 MW installed, 40 MW contracted and 35 MW utilised, and it holds an undeveloped site, so there is both headroom to fill and land to develop. This matters because investing to raise utilisation of existing capacity is usually lower-risk and higher-return than building entirely new capacity.</w:t>
      </w:r>
    </w:p>
    <w:p>
      <w:pPr>
        <w:pStyle w:val="ListBullet"/>
        <w:spacing w:after="80"/>
      </w:pPr>
      <w:r>
        <w:rPr>
          <w:b/>
          <w:sz w:val="20"/>
        </w:rPr>
        <w:t xml:space="preserve">People, skills and execution capability: </w:t>
      </w:r>
      <w:r>
        <w:rPr>
          <w:sz w:val="20"/>
        </w:rPr>
        <w:t>this means whether the business has the people to build and run the project. Axion’s MATURE priority recognises that growth needs management depth and skilled staff, not just capital. This matters because execution capability is a real constraint, and over-committing beyond it destroys value even where demand exists.</w:t>
      </w:r>
    </w:p>
    <w:p>
      <w:pPr>
        <w:pStyle w:val="ListBullet"/>
        <w:spacing w:after="80"/>
      </w:pPr>
      <w:r>
        <w:rPr>
          <w:b/>
          <w:sz w:val="20"/>
        </w:rPr>
        <w:t xml:space="preserve">Timing: </w:t>
      </w:r>
      <w:r>
        <w:rPr>
          <w:sz w:val="20"/>
        </w:rPr>
        <w:t>this means whether the project can be delivered when the value is available. Because capacity is brought into service in phases as it is contracted, the timing of grid connection and customer readiness determines when revenue begins. This matters because value depends on capturing demand at the right moment, and mistimed capacity either sits empty or arrives too late.</w:t>
      </w:r>
    </w:p>
    <w:p>
      <w:pPr>
        <w:spacing w:before="160" w:after="40"/>
      </w:pPr>
      <w:r>
        <w:rPr>
          <w:b/>
          <w:color w:val="1F3D6B"/>
          <w:sz w:val="22"/>
        </w:rPr>
        <w:t>Overall financial framework — how a pre-tax NPV calculation would look</w:t>
      </w:r>
    </w:p>
    <w:p>
      <w:pPr>
        <w:spacing w:after="60"/>
      </w:pPr>
      <w:r>
        <w:rPr>
          <w:b w:val="0"/>
          <w:i w:val="0"/>
          <w:sz w:val="19"/>
        </w:rPr>
        <w:t>Step 1 — Build the incremental pre-tax cash flows for each year of the horizon: the initial capital outlay in Year 0 (for example the chillers, installation and any working capital), then the annual incremental revenue from the newly contracted megawatts, less the incremental power, cooling, maintenance and staffing costs, and finally the terminal or residual value in the last year. Exclude sunk costs and include the opportunity cost of any land or capacity used.</w:t>
      </w:r>
    </w:p>
    <w:p>
      <w:pPr>
        <w:spacing w:after="60"/>
      </w:pPr>
      <w:r>
        <w:rPr>
          <w:b w:val="0"/>
          <w:i w:val="0"/>
          <w:sz w:val="19"/>
        </w:rPr>
        <w:t>Step 2 — Determine the project-specific pre-tax discount rate by ungearing a comparable data-centre company’s beta, regearing it to the project’s target capital structure, deriving the required return through CAPM, and combining it into a pre-tax WACC consistent with the pre-tax cash flows.</w:t>
      </w:r>
    </w:p>
    <w:p>
      <w:pPr>
        <w:spacing w:after="60"/>
      </w:pPr>
      <w:r>
        <w:rPr>
          <w:b w:val="0"/>
          <w:i w:val="0"/>
          <w:sz w:val="19"/>
        </w:rPr>
        <w:t>Step 3 — Discount each year’s net cash flow to present value:  PV = Cash flow in year t ÷ (1 + r) raised to the power t.</w:t>
      </w:r>
    </w:p>
    <w:p>
      <w:pPr>
        <w:spacing w:after="60"/>
      </w:pPr>
      <w:r>
        <w:rPr>
          <w:b w:val="0"/>
          <w:i w:val="0"/>
          <w:sz w:val="19"/>
        </w:rPr>
        <w:t>Step 4 — NPV = the sum of the present values of the inflows minus the initial outlay. Decision rule: accept the project if the NPV is positive, because it earns more than the cost of its capital and increases shareholder value.</w:t>
      </w:r>
    </w:p>
    <w:p>
      <w:pPr>
        <w:spacing w:after="100"/>
      </w:pPr>
      <w:r>
        <w:rPr>
          <w:b w:val="0"/>
          <w:i w:val="0"/>
          <w:sz w:val="19"/>
        </w:rPr>
        <w:t>Step 5 — Support the NPV with the IRR, discounted payback and profitability index, and test it with sensitivity and scenario analysis on the key drivers (contracted and utilised megawatts, power price and the grid-connection date).</w:t>
      </w:r>
    </w:p>
    <w:tbl>
      <w:tblPr>
        <w:tblStyle w:val="TableGrid"/>
        <w:tblW w:type="auto" w:w="0"/>
        <w:tblLook w:firstColumn="1" w:firstRow="1" w:lastColumn="0" w:lastRow="0" w:noHBand="0" w:noVBand="1" w:val="04A0"/>
      </w:tblPr>
      <w:tblGrid>
        <w:gridCol w:w="10368"/>
      </w:tblGrid>
      <w:tr>
        <w:tc>
          <w:tcPr>
            <w:tcW w:type="dxa" w:w="10368"/>
            <w:shd w:val="clear" w:fill="eef2f8"/>
          </w:tcPr>
          <w:p>
            <w:r/>
            <w:r>
              <w:rPr>
                <w:i/>
                <w:sz w:val="18"/>
              </w:rPr>
              <w:t>Illustrative worked example (fictional numbers) — additional chillers to unlock more contracted capacity:  Year 0 outlay R120m;  incremental net pre-tax cash flow of R38m per year for five years;  residual value R20m in Year 5;  project-specific pre-tax WACC of 15%.  PV of the five-year cash flows = R38m × 3.3522 (the 5-year annuity factor at 15%) = R127.4m;  PV of residual value = R20m × 0.4972 = R9.9m;  total present value = R137.3m;  NPV = R137.3m − R120m = +R17.3m.  Because the NPV is positive, the expansion adds roughly R17.3m of value today and should, on the numbers, be accepted — subject to the strategic, risk and delivery factors above and to how it is funded.</w:t>
            </w:r>
          </w:p>
        </w:tc>
      </w:tr>
    </w:tbl>
    <w:p>
      <w:pPr>
        <w:spacing w:before="240" w:after="80"/>
        <w:shd w:val="clear" w:fill="1f3d6b"/>
      </w:pPr>
      <w:r>
        <w:rPr>
          <w:b/>
          <w:color w:val="FFFFFF"/>
          <w:sz w:val="26"/>
        </w:rPr>
        <w:t>PART B — THE FUNDING DECISION</w:t>
      </w:r>
    </w:p>
    <w:p>
      <w:pPr>
        <w:spacing w:after="120"/>
      </w:pPr>
      <w:r>
        <w:rPr>
          <w:b w:val="0"/>
          <w:i w:val="0"/>
          <w:sz w:val="19"/>
        </w:rPr>
        <w:t>Once a project is shown to create value, Axion must decide how to fund it. The board is considering three alternatives from the pre-release: additional debt, further investment by existing shareholders, or bringing in a new strategic investor. A competent discussion compares them on cost, risk, control, security, covenants and flexibility, and links each to the effect on Axion’s financial position.</w:t>
      </w:r>
    </w:p>
    <w:p>
      <w:pPr>
        <w:spacing w:before="160" w:after="40"/>
      </w:pPr>
      <w:r>
        <w:rPr>
          <w:b/>
          <w:color w:val="1F3D6B"/>
          <w:sz w:val="22"/>
        </w:rPr>
        <w:t>General funding concepts to raise in the discussion</w:t>
      </w:r>
    </w:p>
    <w:p>
      <w:pPr>
        <w:pStyle w:val="ListBullet"/>
        <w:spacing w:after="80"/>
      </w:pPr>
      <w:r>
        <w:rPr>
          <w:b/>
          <w:sz w:val="20"/>
        </w:rPr>
        <w:t xml:space="preserve">Cost of capital: </w:t>
      </w:r>
      <w:r>
        <w:rPr>
          <w:sz w:val="20"/>
        </w:rPr>
        <w:t>this means the return each source of funding requires. Debt is cheaper than equity because lenders rank ahead of shareholders and interest is tax-deductible, whereas equity investors require a higher return for taking more risk. This matters because the cheaper the funding, the lower the hurdle the project must clear, so the mix of funding directly affects value.</w:t>
      </w:r>
    </w:p>
    <w:p>
      <w:pPr>
        <w:pStyle w:val="ListBullet"/>
        <w:spacing w:after="80"/>
      </w:pPr>
      <w:r>
        <w:rPr>
          <w:b/>
          <w:sz w:val="20"/>
        </w:rPr>
        <w:t xml:space="preserve">Capital structure and target gearing: </w:t>
      </w:r>
      <w:r>
        <w:rPr>
          <w:sz w:val="20"/>
        </w:rPr>
        <w:t>this means the balance between debt and equity the business aims to hold. Axion is already fairly geared, with borrowings of R4.85bn and falling interest cover, so there is limited room for much more debt. This matters because moving too far from a sensible target structure raises the risk of financial distress and can increase the overall cost of capital.</w:t>
      </w:r>
    </w:p>
    <w:p>
      <w:pPr>
        <w:pStyle w:val="ListBullet"/>
        <w:spacing w:after="80"/>
      </w:pPr>
      <w:r>
        <w:rPr>
          <w:b/>
          <w:sz w:val="20"/>
        </w:rPr>
        <w:t xml:space="preserve">Debt-service capacity and interest cover: </w:t>
      </w:r>
      <w:r>
        <w:rPr>
          <w:sz w:val="20"/>
        </w:rPr>
        <w:t>this means the ability of the business’s cash flows to meet interest and repayments. Axion’s interest cover has declined from 2.04 to 1.87 times, showing tightening headroom as finance costs rise. This matters because weak debt-service capacity limits how much additional debt is prudent and is exactly what lenders and covenants test.</w:t>
      </w:r>
    </w:p>
    <w:p>
      <w:pPr>
        <w:pStyle w:val="ListBullet"/>
        <w:spacing w:after="80"/>
      </w:pPr>
      <w:r>
        <w:rPr>
          <w:b/>
          <w:sz w:val="20"/>
        </w:rPr>
        <w:t xml:space="preserve">Control and dilution: </w:t>
      </w:r>
      <w:r>
        <w:rPr>
          <w:sz w:val="20"/>
        </w:rPr>
        <w:t>this means the effect of the funding on who owns and controls the business. Raising equity from a new strategic investor dilutes existing shareholders, including the founder-CEO’s 18% and the Employee and Empowerment Trust’s 10%, and may hand the investor board rights. This matters because founders and existing shareholders may resist losing influence, so control is often as important to the decision as cost.</w:t>
      </w:r>
    </w:p>
    <w:p>
      <w:pPr>
        <w:pStyle w:val="ListBullet"/>
        <w:spacing w:after="80"/>
      </w:pPr>
      <w:r>
        <w:rPr>
          <w:b/>
          <w:sz w:val="20"/>
        </w:rPr>
        <w:t xml:space="preserve">Covenants and security: </w:t>
      </w:r>
      <w:r>
        <w:rPr>
          <w:sz w:val="20"/>
        </w:rPr>
        <w:t>this means the conditions and collateral lenders attach to debt. Additional bank debt is likely to carry covenants (for example on gearing or interest cover) and security over assets, and a breach can accelerate repayment. This matters because tight covenants reduce flexibility and, in a downturn, can turn a manageable problem into a liquidity crisis.</w:t>
      </w:r>
    </w:p>
    <w:p>
      <w:pPr>
        <w:pStyle w:val="ListBullet"/>
        <w:spacing w:after="80"/>
      </w:pPr>
      <w:r>
        <w:rPr>
          <w:b/>
          <w:sz w:val="20"/>
        </w:rPr>
        <w:t xml:space="preserve">Financial flexibility and headroom: </w:t>
      </w:r>
      <w:r>
        <w:rPr>
          <w:sz w:val="20"/>
        </w:rPr>
        <w:t>this means keeping the ability to raise further funding in future. Using up debt capacity now leaves less headroom for the rest of the R3–R5bn pipeline. This matters because preserving flexibility allows the business to fund future value-adding projects and to withstand shocks.</w:t>
      </w:r>
    </w:p>
    <w:p>
      <w:pPr>
        <w:pStyle w:val="ListBullet"/>
        <w:spacing w:after="80"/>
      </w:pPr>
      <w:r>
        <w:rPr>
          <w:b/>
          <w:sz w:val="20"/>
        </w:rPr>
        <w:t xml:space="preserve">Matching principle: </w:t>
      </w:r>
      <w:r>
        <w:rPr>
          <w:sz w:val="20"/>
        </w:rPr>
        <w:t>this means funding long-term assets with long-term finance. A data centre is a long-life asset and should be funded with long-term debt or equity, not short-term facilities. This matters because a mismatch creates refinancing and liquidity risk if short-term funding must be rolled over in poor conditions.</w:t>
      </w:r>
    </w:p>
    <w:p>
      <w:pPr>
        <w:pStyle w:val="ListBullet"/>
        <w:spacing w:after="80"/>
      </w:pPr>
      <w:r>
        <w:rPr>
          <w:b/>
          <w:sz w:val="20"/>
        </w:rPr>
        <w:t xml:space="preserve">Pecking order and signalling: </w:t>
      </w:r>
      <w:r>
        <w:rPr>
          <w:sz w:val="20"/>
        </w:rPr>
        <w:t>this means the order in which businesses tend to raise funds and the message each choice sends. Firms often use internal funds first, then debt, then new equity, because issuing equity can signal that management thinks the shares are fully valued. This matters because the choice of funding can be read by the market and by existing shareholders as a signal about prospects.</w:t>
      </w:r>
    </w:p>
    <w:p>
      <w:pPr>
        <w:pStyle w:val="ListBullet"/>
        <w:spacing w:after="80"/>
      </w:pPr>
      <w:r>
        <w:rPr>
          <w:b/>
          <w:sz w:val="20"/>
        </w:rPr>
        <w:t xml:space="preserve">Project finance versus corporate finance: </w:t>
      </w:r>
      <w:r>
        <w:rPr>
          <w:sz w:val="20"/>
        </w:rPr>
        <w:t>this means whether the project is funded on its own cash flows or on the group balance sheet. JHB4 uses a dedicated R1.2bn project facility from a bank syndicate, which ring-fences the project, but guarantees, security and covenants can transfer the risk back to the group. This matters because the economic substance, not the legal label, determines whether the group has truly limited its risk.</w:t>
      </w:r>
    </w:p>
    <w:p>
      <w:pPr>
        <w:pStyle w:val="ListBullet"/>
        <w:spacing w:after="80"/>
      </w:pPr>
      <w:r>
        <w:rPr>
          <w:b/>
          <w:sz w:val="20"/>
        </w:rPr>
        <w:t xml:space="preserve">Companies Act and governance requirements: </w:t>
      </w:r>
      <w:r>
        <w:rPr>
          <w:sz w:val="20"/>
        </w:rPr>
        <w:t>this means the legal steps a funding structure triggers. A share issue, any financial assistance for the acquisition of shares, and the solvency-and-liquidity test all engage the Companies Act, and conflicts must be managed where investor-nominated directors sit on the Investment Committee. This matters because failing to follow the required process can invalidate the transaction and expose directors to liability.</w:t>
      </w:r>
    </w:p>
    <w:p>
      <w:pPr>
        <w:spacing w:before="160" w:after="40"/>
      </w:pPr>
      <w:r>
        <w:rPr>
          <w:b/>
          <w:color w:val="1F3D6B"/>
          <w:sz w:val="22"/>
        </w:rPr>
        <w:t>Option 1 — Additional debt (including a dedicated project facility)</w:t>
      </w:r>
    </w:p>
    <w:p>
      <w:pPr>
        <w:pStyle w:val="ListBullet"/>
        <w:spacing w:after="80"/>
      </w:pPr>
      <w:r>
        <w:rPr>
          <w:b/>
          <w:sz w:val="20"/>
        </w:rPr>
        <w:t xml:space="preserve">What it is: </w:t>
      </w:r>
      <w:r>
        <w:rPr>
          <w:sz w:val="20"/>
        </w:rPr>
        <w:t>borrowing more from banks, either at group level or through a ring-fenced project facility like JHB4’s R1.2bn syndicate loan, repaid with interest over time.</w:t>
      </w:r>
    </w:p>
    <w:p>
      <w:pPr>
        <w:pStyle w:val="ListBullet"/>
        <w:spacing w:after="80"/>
      </w:pPr>
      <w:r>
        <w:rPr>
          <w:b/>
          <w:sz w:val="20"/>
        </w:rPr>
        <w:t xml:space="preserve">Application to Axion: </w:t>
      </w:r>
      <w:r>
        <w:rPr>
          <w:sz w:val="20"/>
        </w:rPr>
        <w:t>Axion could fund a capacity expansion with a project facility drawn down in line with the construction and contracting schedule, keeping the debt matched to the asset it builds. Because debt is the cheapest source and interest is tax-deductible, this preserves existing shareholders’ ownership and control.</w:t>
      </w:r>
    </w:p>
    <w:p>
      <w:pPr>
        <w:pStyle w:val="ListBullet"/>
        <w:spacing w:after="80"/>
      </w:pPr>
      <w:r>
        <w:rPr>
          <w:b/>
          <w:sz w:val="20"/>
        </w:rPr>
        <w:t xml:space="preserve">The drawbacks for Axion: </w:t>
      </w:r>
      <w:r>
        <w:rPr>
          <w:sz w:val="20"/>
        </w:rPr>
        <w:t>Axion is already geared, with borrowings of R4.85bn and interest cover down to 1.87 times, so more debt raises financial risk, tightens covenant headroom and increases the fixed finance cost that must be paid regardless of how quickly capacity is contracted. This matters because it weakens the financial position and reduces resilience if utilisation is slower than forecast.</w:t>
      </w:r>
    </w:p>
    <w:p>
      <w:pPr>
        <w:spacing w:before="160" w:after="40"/>
      </w:pPr>
      <w:r>
        <w:rPr>
          <w:b/>
          <w:color w:val="1F3D6B"/>
          <w:sz w:val="22"/>
        </w:rPr>
        <w:t>Option 2 — Further investment by existing shareholders</w:t>
      </w:r>
    </w:p>
    <w:p>
      <w:pPr>
        <w:pStyle w:val="ListBullet"/>
        <w:spacing w:after="80"/>
      </w:pPr>
      <w:r>
        <w:rPr>
          <w:b/>
          <w:sz w:val="20"/>
        </w:rPr>
        <w:t xml:space="preserve">What it is: </w:t>
      </w:r>
      <w:r>
        <w:rPr>
          <w:sz w:val="20"/>
        </w:rPr>
        <w:t>raising additional equity from the current shareholders, for example through a rights issue in proportion to their existing holdings.</w:t>
      </w:r>
    </w:p>
    <w:p>
      <w:pPr>
        <w:pStyle w:val="ListBullet"/>
        <w:spacing w:after="80"/>
      </w:pPr>
      <w:r>
        <w:rPr>
          <w:b/>
          <w:sz w:val="20"/>
        </w:rPr>
        <w:t xml:space="preserve">Application to Axion: </w:t>
      </w:r>
      <w:r>
        <w:rPr>
          <w:sz w:val="20"/>
        </w:rPr>
        <w:t>Ubuntu (35%), Horizon (30%), the founder-CEO (18%), the Employee and Empowerment Trust (10%) and David Low (7%) could each contribute more capital in line with their stakes, which raises equity without bringing in an outsider and without adding debt or covenants. Because it keeps the existing ownership proportions, it avoids diluting control and it strengthens the balance sheet, improving capacity to borrow later.</w:t>
      </w:r>
    </w:p>
    <w:p>
      <w:pPr>
        <w:pStyle w:val="ListBullet"/>
        <w:spacing w:after="80"/>
      </w:pPr>
      <w:r>
        <w:rPr>
          <w:b/>
          <w:sz w:val="20"/>
        </w:rPr>
        <w:t xml:space="preserve">The drawbacks for Axion: </w:t>
      </w:r>
      <w:r>
        <w:rPr>
          <w:sz w:val="20"/>
        </w:rPr>
        <w:t>equity is more expensive than debt, existing shareholders may be unwilling or unable to inject more cash, and the Employee and Empowerment Trust may not have the funds to follow its rights, which could dilute it if the issue is not structured carefully. This matters because it can strain shareholder relations and raise fairness and governance concerns that must be managed.</w:t>
      </w:r>
    </w:p>
    <w:p>
      <w:pPr>
        <w:spacing w:before="160" w:after="40"/>
      </w:pPr>
      <w:r>
        <w:rPr>
          <w:b/>
          <w:color w:val="1F3D6B"/>
          <w:sz w:val="22"/>
        </w:rPr>
        <w:t>Option 3 — A new strategic investor</w:t>
      </w:r>
    </w:p>
    <w:p>
      <w:pPr>
        <w:pStyle w:val="ListBullet"/>
        <w:spacing w:after="80"/>
      </w:pPr>
      <w:r>
        <w:rPr>
          <w:b/>
          <w:sz w:val="20"/>
        </w:rPr>
        <w:t xml:space="preserve">What it is: </w:t>
      </w:r>
      <w:r>
        <w:rPr>
          <w:sz w:val="20"/>
        </w:rPr>
        <w:t>issuing new shares to an outside investor who brings capital and often industry expertise, relationships or access to further funding.</w:t>
      </w:r>
    </w:p>
    <w:p>
      <w:pPr>
        <w:pStyle w:val="ListBullet"/>
        <w:spacing w:after="80"/>
      </w:pPr>
      <w:r>
        <w:rPr>
          <w:b/>
          <w:sz w:val="20"/>
        </w:rPr>
        <w:t xml:space="preserve">Application to Axion: </w:t>
      </w:r>
      <w:r>
        <w:rPr>
          <w:sz w:val="20"/>
        </w:rPr>
        <w:t>a strategic investor in digital infrastructure could provide the large capital the R3–R5bn programme needs, together with expertise and customer relationships, while adding equity rather than debt so gearing and interest cover are not worsened. This matters because it can accelerate growth and strengthen the financial position at the same time.</w:t>
      </w:r>
    </w:p>
    <w:p>
      <w:pPr>
        <w:pStyle w:val="ListBullet"/>
        <w:spacing w:after="80"/>
      </w:pPr>
      <w:r>
        <w:rPr>
          <w:b/>
          <w:sz w:val="20"/>
        </w:rPr>
        <w:t xml:space="preserve">The drawbacks for Axion: </w:t>
      </w:r>
      <w:r>
        <w:rPr>
          <w:sz w:val="20"/>
        </w:rPr>
        <w:t>a new investor dilutes existing shareholders and the founder’s influence, may demand board seats, veto rights and a say in strategy, and introduces potential conflicts, particularly as an investor-nominated director already chairs the Investment Committee. This matters because the loss of control and the governance and Companies Act processes involved can be as significant as the funding itself, and pre-emption rights and existing shareholders’ interests must be respected.</w:t>
      </w:r>
    </w:p>
    <w:p>
      <w:pPr>
        <w:spacing w:before="160" w:after="40"/>
      </w:pPr>
      <w:r>
        <w:rPr>
          <w:b/>
          <w:color w:val="1F3D6B"/>
          <w:sz w:val="22"/>
        </w:rPr>
        <w:t>Bringing the two decisions together (the conclusion)</w:t>
      </w:r>
    </w:p>
    <w:p>
      <w:pPr>
        <w:spacing w:after="80"/>
      </w:pPr>
      <w:r>
        <w:rPr>
          <w:b w:val="0"/>
          <w:i w:val="0"/>
          <w:sz w:val="19"/>
        </w:rPr>
        <w:t>The investment decision and the funding decision cannot be separated. A project should first be shown to create value on its incremental pre-tax cash flows at a project-specific rate, and only then funded in a way that keeps Axion’s gearing, interest cover and control within acceptable limits. For Axion, given its already-elevated borrowings and declining interest cover, a value-adding expansion is best funded with a mix that does not push financial risk too far — for example a ring-fenced project facility combined with fresh equity from existing shareholders or a strategic investor — so that the group grows its contracted capacity and profitability while protecting its financial position and its ability to fund the rest of the pipeline. A competent answer ends by weighing these factors and making a clear, reasoned recommendation rather than listing them.</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