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D6B"/>
          <w:sz w:val="30"/>
        </w:rPr>
        <w:t>Diamante Ltd — APC 2026 Pre-release Research</w:t>
      </w:r>
    </w:p>
    <w:p>
      <w:r>
        <w:rPr>
          <w:i/>
          <w:color w:val="555555"/>
          <w:sz w:val="19"/>
        </w:rPr>
        <w:t>Focus trigger: Document 5 — Performance bonuses (new long-term incentive scheme). Financial-ratio analysis · critical evaluation of the KPIs · alternative KPI recommendations · ethical considerations.</w:t>
      </w:r>
    </w:p>
    <w:p>
      <w:pPr>
        <w:spacing w:before="200" w:after="60"/>
        <w:pBdr>
          <w:bottom w:val="single" w:sz="6" w:space="2" w:color="808080"/>
        </w:pBdr>
      </w:pPr>
      <w:r>
        <w:rPr>
          <w:b/>
          <w:color w:val="1F3D6B"/>
          <w:sz w:val="26"/>
        </w:rPr>
        <w:t>1. In-depth evaluation of the financial ratios</w:t>
      </w:r>
    </w:p>
    <w:p>
      <w:pPr>
        <w:spacing w:after="80"/>
      </w:pPr>
      <w:r>
        <w:rPr>
          <w:b w:val="0"/>
          <w:i/>
          <w:sz w:val="19"/>
        </w:rPr>
        <w:t>All figures R millions, from the draft FY2026 income statement, balance sheet and notes. Ratios are shown 2026 vs 2025 so the direction of travel is clear. The picture matters for Document 5 because it tells us which KPIs are realistic.</w:t>
      </w:r>
    </w:p>
    <w:p>
      <w:pPr>
        <w:spacing w:after="40"/>
      </w:pPr>
      <w:r>
        <w:rPr>
          <w:b/>
          <w:i w:val="0"/>
          <w:sz w:val="22"/>
        </w:rPr>
        <w:t>1.1 Profitability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448"/>
            <w:shd w:val="clear" w:fill="1f3d6b"/>
          </w:tcPr>
          <w:p>
            <w:r/>
            <w:r>
              <w:rPr>
                <w:b/>
                <w:color w:val="FFFFFF"/>
                <w:sz w:val="19"/>
              </w:rPr>
              <w:t>Ratio</w:t>
            </w:r>
          </w:p>
        </w:tc>
        <w:tc>
          <w:tcPr>
            <w:tcW w:type="dxa" w:w="1008"/>
            <w:shd w:val="clear" w:fill="1f3d6b"/>
          </w:tcPr>
          <w:p>
            <w:r/>
            <w:r>
              <w:rPr>
                <w:b/>
                <w:color w:val="FFFFFF"/>
                <w:sz w:val="19"/>
              </w:rPr>
              <w:t>2026</w:t>
            </w:r>
          </w:p>
        </w:tc>
        <w:tc>
          <w:tcPr>
            <w:tcW w:type="dxa" w:w="1008"/>
            <w:shd w:val="clear" w:fill="1f3d6b"/>
          </w:tcPr>
          <w:p>
            <w:r/>
            <w:r>
              <w:rPr>
                <w:b/>
                <w:color w:val="FFFFFF"/>
                <w:sz w:val="19"/>
              </w:rPr>
              <w:t>2025</w:t>
            </w:r>
          </w:p>
        </w:tc>
        <w:tc>
          <w:tcPr>
            <w:tcW w:type="dxa" w:w="3168"/>
            <w:shd w:val="clear" w:fill="1f3d6b"/>
          </w:tcPr>
          <w:p>
            <w:r/>
            <w:r>
              <w:rPr>
                <w:b/>
                <w:color w:val="FFFFFF"/>
                <w:sz w:val="19"/>
              </w:rPr>
              <w:t>How it is worked out</w:t>
            </w:r>
          </w:p>
        </w:tc>
        <w:tc>
          <w:tcPr>
            <w:tcW w:type="dxa" w:w="3456"/>
            <w:shd w:val="clear" w:fill="1f3d6b"/>
          </w:tcPr>
          <w:p>
            <w:r/>
            <w:r>
              <w:rPr>
                <w:b/>
                <w:color w:val="FFFFFF"/>
                <w:sz w:val="19"/>
              </w:rPr>
              <w:t>What it tells us</w:t>
            </w:r>
          </w:p>
        </w:tc>
      </w:tr>
      <w:tr>
        <w:tc>
          <w:tcPr>
            <w:tcW w:type="dxa" w:w="2448"/>
          </w:tcPr>
          <w:p>
            <w:r/>
            <w:r>
              <w:rPr>
                <w:sz w:val="19"/>
              </w:rPr>
              <w:t>Revenue</w:t>
            </w:r>
          </w:p>
        </w:tc>
        <w:tc>
          <w:tcPr>
            <w:tcW w:type="dxa" w:w="1008"/>
          </w:tcPr>
          <w:p>
            <w:r/>
            <w:r>
              <w:rPr>
                <w:sz w:val="19"/>
              </w:rPr>
              <w:t>R1 863</w:t>
            </w:r>
          </w:p>
        </w:tc>
        <w:tc>
          <w:tcPr>
            <w:tcW w:type="dxa" w:w="1008"/>
          </w:tcPr>
          <w:p>
            <w:r/>
            <w:r>
              <w:rPr>
                <w:sz w:val="19"/>
              </w:rPr>
              <w:t>R2 790</w:t>
            </w:r>
          </w:p>
        </w:tc>
        <w:tc>
          <w:tcPr>
            <w:tcW w:type="dxa" w:w="3168"/>
          </w:tcPr>
          <w:p>
            <w:r/>
            <w:r>
              <w:rPr>
                <w:sz w:val="19"/>
              </w:rPr>
              <w:t>Mine 1 + Mine 2</w:t>
            </w:r>
          </w:p>
        </w:tc>
        <w:tc>
          <w:tcPr>
            <w:tcW w:type="dxa" w:w="3456"/>
          </w:tcPr>
          <w:p>
            <w:r/>
            <w:r>
              <w:rPr>
                <w:sz w:val="19"/>
              </w:rPr>
              <w:t>Down 33% — diamond price slump, weak product mix, deferring tenders</w:t>
            </w:r>
          </w:p>
        </w:tc>
      </w:tr>
      <w:tr>
        <w:tc>
          <w:tcPr>
            <w:tcW w:type="dxa" w:w="2448"/>
          </w:tcPr>
          <w:p>
            <w:r/>
            <w:r>
              <w:rPr>
                <w:sz w:val="19"/>
              </w:rPr>
              <w:t>Operating margin</w:t>
            </w:r>
          </w:p>
        </w:tc>
        <w:tc>
          <w:tcPr>
            <w:tcW w:type="dxa" w:w="1008"/>
          </w:tcPr>
          <w:p>
            <w:r/>
            <w:r>
              <w:rPr>
                <w:sz w:val="19"/>
              </w:rPr>
              <w:t>(87.9%)</w:t>
            </w:r>
          </w:p>
        </w:tc>
        <w:tc>
          <w:tcPr>
            <w:tcW w:type="dxa" w:w="1008"/>
          </w:tcPr>
          <w:p>
            <w:r/>
            <w:r>
              <w:rPr>
                <w:sz w:val="19"/>
              </w:rPr>
              <w:t>(31.0%)</w:t>
            </w:r>
          </w:p>
        </w:tc>
        <w:tc>
          <w:tcPr>
            <w:tcW w:type="dxa" w:w="3168"/>
          </w:tcPr>
          <w:p>
            <w:r/>
            <w:r>
              <w:rPr>
                <w:sz w:val="19"/>
              </w:rPr>
              <w:t>Operating loss ÷ revenue</w:t>
            </w:r>
          </w:p>
        </w:tc>
        <w:tc>
          <w:tcPr>
            <w:tcW w:type="dxa" w:w="3456"/>
          </w:tcPr>
          <w:p>
            <w:r/>
            <w:r>
              <w:rPr>
                <w:sz w:val="19"/>
              </w:rPr>
              <w:t>Heavy operating loss, sharply worse</w:t>
            </w:r>
          </w:p>
        </w:tc>
      </w:tr>
      <w:tr>
        <w:tc>
          <w:tcPr>
            <w:tcW w:type="dxa" w:w="2448"/>
          </w:tcPr>
          <w:p>
            <w:r/>
            <w:r>
              <w:rPr>
                <w:sz w:val="19"/>
              </w:rPr>
              <w:t>Operating margin (excl. impairments)</w:t>
            </w:r>
          </w:p>
        </w:tc>
        <w:tc>
          <w:tcPr>
            <w:tcW w:type="dxa" w:w="1008"/>
          </w:tcPr>
          <w:p>
            <w:r/>
            <w:r>
              <w:rPr>
                <w:sz w:val="19"/>
              </w:rPr>
              <w:t>(25.1%)</w:t>
            </w:r>
          </w:p>
        </w:tc>
        <w:tc>
          <w:tcPr>
            <w:tcW w:type="dxa" w:w="1008"/>
          </w:tcPr>
          <w:p>
            <w:r/>
            <w:r>
              <w:rPr>
                <w:sz w:val="19"/>
              </w:rPr>
              <w:t>(4.8%)</w:t>
            </w:r>
          </w:p>
        </w:tc>
        <w:tc>
          <w:tcPr>
            <w:tcW w:type="dxa" w:w="3168"/>
          </w:tcPr>
          <w:p>
            <w:r/>
            <w:r>
              <w:rPr>
                <w:sz w:val="19"/>
              </w:rPr>
              <w:t>(Op loss + impairments) ÷ revenue</w:t>
            </w:r>
          </w:p>
        </w:tc>
        <w:tc>
          <w:tcPr>
            <w:tcW w:type="dxa" w:w="3456"/>
          </w:tcPr>
          <w:p>
            <w:r/>
            <w:r>
              <w:rPr>
                <w:sz w:val="19"/>
              </w:rPr>
              <w:t>Core mining loses money even before impairments — and worsening</w:t>
            </w:r>
          </w:p>
        </w:tc>
      </w:tr>
      <w:tr>
        <w:tc>
          <w:tcPr>
            <w:tcW w:type="dxa" w:w="2448"/>
          </w:tcPr>
          <w:p>
            <w:r/>
            <w:r>
              <w:rPr>
                <w:sz w:val="19"/>
              </w:rPr>
              <w:t>Mining cost : revenue</w:t>
            </w:r>
          </w:p>
        </w:tc>
        <w:tc>
          <w:tcPr>
            <w:tcW w:type="dxa" w:w="1008"/>
          </w:tcPr>
          <w:p>
            <w:r/>
            <w:r>
              <w:rPr>
                <w:sz w:val="19"/>
              </w:rPr>
              <w:t>123%</w:t>
            </w:r>
          </w:p>
        </w:tc>
        <w:tc>
          <w:tcPr>
            <w:tcW w:type="dxa" w:w="1008"/>
          </w:tcPr>
          <w:p>
            <w:r/>
            <w:r>
              <w:rPr>
                <w:sz w:val="19"/>
              </w:rPr>
              <w:t>101%</w:t>
            </w:r>
          </w:p>
        </w:tc>
        <w:tc>
          <w:tcPr>
            <w:tcW w:type="dxa" w:w="3168"/>
          </w:tcPr>
          <w:p>
            <w:r/>
            <w:r>
              <w:rPr>
                <w:sz w:val="19"/>
              </w:rPr>
              <w:t>Mining costs ÷ revenue</w:t>
            </w:r>
          </w:p>
        </w:tc>
        <w:tc>
          <w:tcPr>
            <w:tcW w:type="dxa" w:w="3456"/>
          </w:tcPr>
          <w:p>
            <w:r/>
            <w:r>
              <w:rPr>
                <w:sz w:val="19"/>
              </w:rPr>
              <w:t>Mining costs now EXCEED revenue</w:t>
            </w:r>
          </w:p>
        </w:tc>
      </w:tr>
      <w:tr>
        <w:tc>
          <w:tcPr>
            <w:tcW w:type="dxa" w:w="2448"/>
          </w:tcPr>
          <w:p>
            <w:r/>
            <w:r>
              <w:rPr>
                <w:sz w:val="19"/>
              </w:rPr>
              <w:t>Net loss margin</w:t>
            </w:r>
          </w:p>
        </w:tc>
        <w:tc>
          <w:tcPr>
            <w:tcW w:type="dxa" w:w="1008"/>
          </w:tcPr>
          <w:p>
            <w:r/>
            <w:r>
              <w:rPr>
                <w:sz w:val="19"/>
              </w:rPr>
              <w:t>(56.0%)</w:t>
            </w:r>
          </w:p>
        </w:tc>
        <w:tc>
          <w:tcPr>
            <w:tcW w:type="dxa" w:w="1008"/>
          </w:tcPr>
          <w:p>
            <w:r/>
            <w:r>
              <w:rPr>
                <w:sz w:val="19"/>
              </w:rPr>
              <w:t>(34.5%)</w:t>
            </w:r>
          </w:p>
        </w:tc>
        <w:tc>
          <w:tcPr>
            <w:tcW w:type="dxa" w:w="3168"/>
          </w:tcPr>
          <w:p>
            <w:r/>
            <w:r>
              <w:rPr>
                <w:sz w:val="19"/>
              </w:rPr>
              <w:t>Loss for year ÷ revenue</w:t>
            </w:r>
          </w:p>
        </w:tc>
        <w:tc>
          <w:tcPr>
            <w:tcW w:type="dxa" w:w="3456"/>
          </w:tcPr>
          <w:p>
            <w:r/>
            <w:r>
              <w:rPr>
                <w:sz w:val="19"/>
              </w:rPr>
              <w:t>Large net loss both years</w:t>
            </w:r>
          </w:p>
        </w:tc>
      </w:tr>
      <w:tr>
        <w:tc>
          <w:tcPr>
            <w:tcW w:type="dxa" w:w="2448"/>
          </w:tcPr>
          <w:p>
            <w:r/>
            <w:r>
              <w:rPr>
                <w:sz w:val="19"/>
              </w:rPr>
              <w:t>Adjusted EBITDA</w:t>
            </w:r>
          </w:p>
        </w:tc>
        <w:tc>
          <w:tcPr>
            <w:tcW w:type="dxa" w:w="1008"/>
          </w:tcPr>
          <w:p>
            <w:r/>
            <w:r>
              <w:rPr>
                <w:sz w:val="19"/>
              </w:rPr>
              <w:t>R207</w:t>
            </w:r>
          </w:p>
        </w:tc>
        <w:tc>
          <w:tcPr>
            <w:tcW w:type="dxa" w:w="1008"/>
          </w:tcPr>
          <w:p>
            <w:r/>
            <w:r>
              <w:rPr>
                <w:sz w:val="19"/>
              </w:rPr>
              <w:t>R540</w:t>
            </w:r>
          </w:p>
        </w:tc>
        <w:tc>
          <w:tcPr>
            <w:tcW w:type="dxa" w:w="3168"/>
          </w:tcPr>
          <w:p>
            <w:r/>
            <w:r>
              <w:rPr>
                <w:sz w:val="19"/>
              </w:rPr>
              <w:t>Op loss + depreciation + impairments</w:t>
            </w:r>
          </w:p>
        </w:tc>
        <w:tc>
          <w:tcPr>
            <w:tcW w:type="dxa" w:w="3456"/>
          </w:tcPr>
          <w:p>
            <w:r/>
            <w:r>
              <w:rPr>
                <w:sz w:val="19"/>
              </w:rPr>
              <w:t>Underlying cash earnings positive but collapsing</w:t>
            </w:r>
          </w:p>
        </w:tc>
      </w:tr>
      <w:tr>
        <w:tc>
          <w:tcPr>
            <w:tcW w:type="dxa" w:w="2448"/>
          </w:tcPr>
          <w:p>
            <w:r/>
            <w:r>
              <w:rPr>
                <w:sz w:val="19"/>
              </w:rPr>
              <w:t>Return on equity</w:t>
            </w:r>
          </w:p>
        </w:tc>
        <w:tc>
          <w:tcPr>
            <w:tcW w:type="dxa" w:w="1008"/>
          </w:tcPr>
          <w:p>
            <w:r/>
            <w:r>
              <w:rPr>
                <w:sz w:val="19"/>
              </w:rPr>
              <w:t>(117%)</w:t>
            </w:r>
          </w:p>
        </w:tc>
        <w:tc>
          <w:tcPr>
            <w:tcW w:type="dxa" w:w="1008"/>
          </w:tcPr>
          <w:p>
            <w:r/>
            <w:r>
              <w:rPr>
                <w:sz w:val="19"/>
              </w:rPr>
              <w:t>(50%)</w:t>
            </w:r>
          </w:p>
        </w:tc>
        <w:tc>
          <w:tcPr>
            <w:tcW w:type="dxa" w:w="3168"/>
          </w:tcPr>
          <w:p>
            <w:r/>
            <w:r>
              <w:rPr>
                <w:sz w:val="19"/>
              </w:rPr>
              <w:t>Loss for year ÷ total equity</w:t>
            </w:r>
          </w:p>
        </w:tc>
        <w:tc>
          <w:tcPr>
            <w:tcW w:type="dxa" w:w="3456"/>
          </w:tcPr>
          <w:p>
            <w:r/>
            <w:r>
              <w:rPr>
                <w:sz w:val="19"/>
              </w:rPr>
              <w:t>Destroying shareholder value</w:t>
            </w:r>
          </w:p>
        </w:tc>
      </w:tr>
      <w:tr>
        <w:tc>
          <w:tcPr>
            <w:tcW w:type="dxa" w:w="2448"/>
          </w:tcPr>
          <w:p>
            <w:r/>
            <w:r>
              <w:rPr>
                <w:sz w:val="19"/>
              </w:rPr>
              <w:t>Return on assets</w:t>
            </w:r>
          </w:p>
        </w:tc>
        <w:tc>
          <w:tcPr>
            <w:tcW w:type="dxa" w:w="1008"/>
          </w:tcPr>
          <w:p>
            <w:r/>
            <w:r>
              <w:rPr>
                <w:sz w:val="19"/>
              </w:rPr>
              <w:t>(21.5%)</w:t>
            </w:r>
          </w:p>
        </w:tc>
        <w:tc>
          <w:tcPr>
            <w:tcW w:type="dxa" w:w="1008"/>
          </w:tcPr>
          <w:p>
            <w:r/>
            <w:r>
              <w:rPr>
                <w:sz w:val="19"/>
              </w:rPr>
              <w:t>(14.2%)</w:t>
            </w:r>
          </w:p>
        </w:tc>
        <w:tc>
          <w:tcPr>
            <w:tcW w:type="dxa" w:w="3168"/>
          </w:tcPr>
          <w:p>
            <w:r/>
            <w:r>
              <w:rPr>
                <w:sz w:val="19"/>
              </w:rPr>
              <w:t>Loss for year ÷ total assets</w:t>
            </w:r>
          </w:p>
        </w:tc>
        <w:tc>
          <w:tcPr>
            <w:tcW w:type="dxa" w:w="3456"/>
          </w:tcPr>
          <w:p>
            <w:r/>
            <w:r>
              <w:rPr>
                <w:sz w:val="19"/>
              </w:rPr>
              <w:t>Assets not generating returns</w:t>
            </w:r>
          </w:p>
        </w:tc>
      </w:tr>
    </w:tbl>
    <w:p>
      <w:pPr>
        <w:pStyle w:val="ListBullet"/>
        <w:spacing w:after="40"/>
      </w:pPr>
      <w:r>
        <w:rPr>
          <w:sz w:val="19"/>
        </w:rPr>
        <w:t>Revenue fell 33% while mining costs only fell 18% (R2 817m → R2 295m), so costs are not falling fast enough — mining costs are now more than 100% of revenue.</w:t>
      </w:r>
    </w:p>
    <w:p>
      <w:pPr>
        <w:pStyle w:val="ListBullet"/>
        <w:spacing w:after="40"/>
      </w:pPr>
      <w:r>
        <w:rPr>
          <w:sz w:val="19"/>
        </w:rPr>
        <w:t>The R1 044m loss was cushioned by a R405m profit on the sale of the Botswana mine and a R333m tax credit — without these the underlying loss is much worse. This is a quality-of-earnings red flag.</w:t>
      </w:r>
    </w:p>
    <w:p>
      <w:pPr>
        <w:pStyle w:val="ListBullet"/>
        <w:spacing w:after="40"/>
      </w:pPr>
      <w:r>
        <w:rPr>
          <w:sz w:val="19"/>
        </w:rPr>
        <w:t>Impairments (R963m non-financial + R207m financial) are the biggest single driver of the loss.</w:t>
      </w:r>
    </w:p>
    <w:p>
      <w:pPr>
        <w:spacing w:after="40"/>
      </w:pPr>
      <w:r>
        <w:rPr>
          <w:b/>
          <w:i w:val="0"/>
          <w:sz w:val="22"/>
        </w:rPr>
        <w:t>1.2 Liquidity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448"/>
            <w:shd w:val="clear" w:fill="1f3d6b"/>
          </w:tcPr>
          <w:p>
            <w:r/>
            <w:r>
              <w:rPr>
                <w:b/>
                <w:color w:val="FFFFFF"/>
                <w:sz w:val="19"/>
              </w:rPr>
              <w:t>Ratio</w:t>
            </w:r>
          </w:p>
        </w:tc>
        <w:tc>
          <w:tcPr>
            <w:tcW w:type="dxa" w:w="1008"/>
            <w:shd w:val="clear" w:fill="1f3d6b"/>
          </w:tcPr>
          <w:p>
            <w:r/>
            <w:r>
              <w:rPr>
                <w:b/>
                <w:color w:val="FFFFFF"/>
                <w:sz w:val="19"/>
              </w:rPr>
              <w:t>2026</w:t>
            </w:r>
          </w:p>
        </w:tc>
        <w:tc>
          <w:tcPr>
            <w:tcW w:type="dxa" w:w="1008"/>
            <w:shd w:val="clear" w:fill="1f3d6b"/>
          </w:tcPr>
          <w:p>
            <w:r/>
            <w:r>
              <w:rPr>
                <w:b/>
                <w:color w:val="FFFFFF"/>
                <w:sz w:val="19"/>
              </w:rPr>
              <w:t>2025</w:t>
            </w:r>
          </w:p>
        </w:tc>
        <w:tc>
          <w:tcPr>
            <w:tcW w:type="dxa" w:w="3456"/>
            <w:shd w:val="clear" w:fill="1f3d6b"/>
          </w:tcPr>
          <w:p>
            <w:r/>
            <w:r>
              <w:rPr>
                <w:b/>
                <w:color w:val="FFFFFF"/>
                <w:sz w:val="19"/>
              </w:rPr>
              <w:t>How it is worked out</w:t>
            </w:r>
          </w:p>
        </w:tc>
        <w:tc>
          <w:tcPr>
            <w:tcW w:type="dxa" w:w="3168"/>
            <w:shd w:val="clear" w:fill="1f3d6b"/>
          </w:tcPr>
          <w:p>
            <w:r/>
            <w:r>
              <w:rPr>
                <w:b/>
                <w:color w:val="FFFFFF"/>
                <w:sz w:val="19"/>
              </w:rPr>
              <w:t>What it tells us</w:t>
            </w:r>
          </w:p>
        </w:tc>
      </w:tr>
      <w:tr>
        <w:tc>
          <w:tcPr>
            <w:tcW w:type="dxa" w:w="2448"/>
          </w:tcPr>
          <w:p>
            <w:r/>
            <w:r>
              <w:rPr>
                <w:sz w:val="19"/>
              </w:rPr>
              <w:t>Current ratio</w:t>
            </w:r>
          </w:p>
        </w:tc>
        <w:tc>
          <w:tcPr>
            <w:tcW w:type="dxa" w:w="1008"/>
          </w:tcPr>
          <w:p>
            <w:r/>
            <w:r>
              <w:rPr>
                <w:sz w:val="19"/>
              </w:rPr>
              <w:t>0.30</w:t>
            </w:r>
          </w:p>
        </w:tc>
        <w:tc>
          <w:tcPr>
            <w:tcW w:type="dxa" w:w="1008"/>
          </w:tcPr>
          <w:p>
            <w:r/>
            <w:r>
              <w:rPr>
                <w:sz w:val="19"/>
              </w:rPr>
              <w:t>1.12</w:t>
            </w:r>
          </w:p>
        </w:tc>
        <w:tc>
          <w:tcPr>
            <w:tcW w:type="dxa" w:w="3456"/>
          </w:tcPr>
          <w:p>
            <w:r/>
            <w:r>
              <w:rPr>
                <w:sz w:val="19"/>
              </w:rPr>
              <w:t>Current assets ÷ current liabilities</w:t>
            </w:r>
          </w:p>
        </w:tc>
        <w:tc>
          <w:tcPr>
            <w:tcW w:type="dxa" w:w="3168"/>
          </w:tcPr>
          <w:p>
            <w:r/>
            <w:r>
              <w:rPr>
                <w:sz w:val="19"/>
              </w:rPr>
              <w:t>Liquidity has collapsed — cannot cover short-term liabilities</w:t>
            </w:r>
          </w:p>
        </w:tc>
      </w:tr>
      <w:tr>
        <w:tc>
          <w:tcPr>
            <w:tcW w:type="dxa" w:w="2448"/>
          </w:tcPr>
          <w:p>
            <w:r/>
            <w:r>
              <w:rPr>
                <w:sz w:val="19"/>
              </w:rPr>
              <w:t>Quick (acid-test) ratio</w:t>
            </w:r>
          </w:p>
        </w:tc>
        <w:tc>
          <w:tcPr>
            <w:tcW w:type="dxa" w:w="1008"/>
          </w:tcPr>
          <w:p>
            <w:r/>
            <w:r>
              <w:rPr>
                <w:sz w:val="19"/>
              </w:rPr>
              <w:t>0.21</w:t>
            </w:r>
          </w:p>
        </w:tc>
        <w:tc>
          <w:tcPr>
            <w:tcW w:type="dxa" w:w="1008"/>
          </w:tcPr>
          <w:p>
            <w:r/>
            <w:r>
              <w:rPr>
                <w:sz w:val="19"/>
              </w:rPr>
              <w:t>0.74</w:t>
            </w:r>
          </w:p>
        </w:tc>
        <w:tc>
          <w:tcPr>
            <w:tcW w:type="dxa" w:w="3456"/>
          </w:tcPr>
          <w:p>
            <w:r/>
            <w:r>
              <w:rPr>
                <w:sz w:val="19"/>
              </w:rPr>
              <w:t>(CA − inventory) ÷ CL</w:t>
            </w:r>
          </w:p>
        </w:tc>
        <w:tc>
          <w:tcPr>
            <w:tcW w:type="dxa" w:w="3168"/>
          </w:tcPr>
          <w:p>
            <w:r/>
            <w:r>
              <w:rPr>
                <w:sz w:val="19"/>
              </w:rPr>
              <w:t>Very weak even ignoring slow-moving diamond stock</w:t>
            </w:r>
          </w:p>
        </w:tc>
      </w:tr>
      <w:tr>
        <w:tc>
          <w:tcPr>
            <w:tcW w:type="dxa" w:w="2448"/>
          </w:tcPr>
          <w:p>
            <w:r/>
            <w:r>
              <w:rPr>
                <w:sz w:val="19"/>
              </w:rPr>
              <w:t>Cash ratio</w:t>
            </w:r>
          </w:p>
        </w:tc>
        <w:tc>
          <w:tcPr>
            <w:tcW w:type="dxa" w:w="1008"/>
          </w:tcPr>
          <w:p>
            <w:r/>
            <w:r>
              <w:rPr>
                <w:sz w:val="19"/>
              </w:rPr>
              <w:t>0.10</w:t>
            </w:r>
          </w:p>
        </w:tc>
        <w:tc>
          <w:tcPr>
            <w:tcW w:type="dxa" w:w="1008"/>
          </w:tcPr>
          <w:p>
            <w:r/>
            <w:r>
              <w:rPr>
                <w:sz w:val="19"/>
              </w:rPr>
              <w:t>0.22</w:t>
            </w:r>
          </w:p>
        </w:tc>
        <w:tc>
          <w:tcPr>
            <w:tcW w:type="dxa" w:w="3456"/>
          </w:tcPr>
          <w:p>
            <w:r/>
            <w:r>
              <w:rPr>
                <w:sz w:val="19"/>
              </w:rPr>
              <w:t>Cash ÷ current liabilities</w:t>
            </w:r>
          </w:p>
        </w:tc>
        <w:tc>
          <w:tcPr>
            <w:tcW w:type="dxa" w:w="3168"/>
          </w:tcPr>
          <w:p>
            <w:r/>
            <w:r>
              <w:rPr>
                <w:sz w:val="19"/>
              </w:rPr>
              <w:t>Only ~10c of cash per R1 of current liabilities</w:t>
            </w:r>
          </w:p>
        </w:tc>
      </w:tr>
    </w:tbl>
    <w:p>
      <w:pPr>
        <w:pStyle w:val="ListBullet"/>
        <w:spacing w:after="40"/>
      </w:pPr>
      <w:r>
        <w:rPr>
          <w:sz w:val="19"/>
        </w:rPr>
        <w:t>The collapse is mainly because R2 925m of loans and borrowings moved from non-current to CURRENT (the debt matures in FY2027 and was not yet refinanced at year-end). This is the going-concern trigger.</w:t>
      </w:r>
    </w:p>
    <w:p>
      <w:pPr>
        <w:spacing w:after="40"/>
      </w:pPr>
      <w:r>
        <w:rPr>
          <w:b/>
          <w:i w:val="0"/>
          <w:sz w:val="22"/>
        </w:rPr>
        <w:t>1.3 Solvency / gearing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448"/>
            <w:shd w:val="clear" w:fill="1f3d6b"/>
          </w:tcPr>
          <w:p>
            <w:r/>
            <w:r>
              <w:rPr>
                <w:b/>
                <w:color w:val="FFFFFF"/>
                <w:sz w:val="19"/>
              </w:rPr>
              <w:t>Ratio</w:t>
            </w:r>
          </w:p>
        </w:tc>
        <w:tc>
          <w:tcPr>
            <w:tcW w:type="dxa" w:w="1008"/>
            <w:shd w:val="clear" w:fill="1f3d6b"/>
          </w:tcPr>
          <w:p>
            <w:r/>
            <w:r>
              <w:rPr>
                <w:b/>
                <w:color w:val="FFFFFF"/>
                <w:sz w:val="19"/>
              </w:rPr>
              <w:t>2026</w:t>
            </w:r>
          </w:p>
        </w:tc>
        <w:tc>
          <w:tcPr>
            <w:tcW w:type="dxa" w:w="1008"/>
            <w:shd w:val="clear" w:fill="1f3d6b"/>
          </w:tcPr>
          <w:p>
            <w:r/>
            <w:r>
              <w:rPr>
                <w:b/>
                <w:color w:val="FFFFFF"/>
                <w:sz w:val="19"/>
              </w:rPr>
              <w:t>2025</w:t>
            </w:r>
          </w:p>
        </w:tc>
        <w:tc>
          <w:tcPr>
            <w:tcW w:type="dxa" w:w="3312"/>
            <w:shd w:val="clear" w:fill="1f3d6b"/>
          </w:tcPr>
          <w:p>
            <w:r/>
            <w:r>
              <w:rPr>
                <w:b/>
                <w:color w:val="FFFFFF"/>
                <w:sz w:val="19"/>
              </w:rPr>
              <w:t>How it is worked out</w:t>
            </w:r>
          </w:p>
        </w:tc>
        <w:tc>
          <w:tcPr>
            <w:tcW w:type="dxa" w:w="3312"/>
            <w:shd w:val="clear" w:fill="1f3d6b"/>
          </w:tcPr>
          <w:p>
            <w:r/>
            <w:r>
              <w:rPr>
                <w:b/>
                <w:color w:val="FFFFFF"/>
                <w:sz w:val="19"/>
              </w:rPr>
              <w:t>What it tells us</w:t>
            </w:r>
          </w:p>
        </w:tc>
      </w:tr>
      <w:tr>
        <w:tc>
          <w:tcPr>
            <w:tcW w:type="dxa" w:w="2448"/>
          </w:tcPr>
          <w:p>
            <w:r/>
            <w:r>
              <w:rPr>
                <w:sz w:val="19"/>
              </w:rPr>
              <w:t>Debt : equity</w:t>
            </w:r>
          </w:p>
        </w:tc>
        <w:tc>
          <w:tcPr>
            <w:tcW w:type="dxa" w:w="1008"/>
          </w:tcPr>
          <w:p>
            <w:r/>
            <w:r>
              <w:rPr>
                <w:sz w:val="19"/>
              </w:rPr>
              <w:t>3.28</w:t>
            </w:r>
          </w:p>
        </w:tc>
        <w:tc>
          <w:tcPr>
            <w:tcW w:type="dxa" w:w="1008"/>
          </w:tcPr>
          <w:p>
            <w:r/>
            <w:r>
              <w:rPr>
                <w:sz w:val="19"/>
              </w:rPr>
              <w:t>1.27</w:t>
            </w:r>
          </w:p>
        </w:tc>
        <w:tc>
          <w:tcPr>
            <w:tcW w:type="dxa" w:w="3312"/>
          </w:tcPr>
          <w:p>
            <w:r/>
            <w:r>
              <w:rPr>
                <w:sz w:val="19"/>
              </w:rPr>
              <w:t>Loans &amp; borrowings ÷ equity</w:t>
            </w:r>
          </w:p>
        </w:tc>
        <w:tc>
          <w:tcPr>
            <w:tcW w:type="dxa" w:w="3312"/>
          </w:tcPr>
          <w:p>
            <w:r/>
            <w:r>
              <w:rPr>
                <w:sz w:val="19"/>
              </w:rPr>
              <w:t>Highly geared and rising fast</w:t>
            </w:r>
          </w:p>
        </w:tc>
      </w:tr>
      <w:tr>
        <w:tc>
          <w:tcPr>
            <w:tcW w:type="dxa" w:w="2448"/>
          </w:tcPr>
          <w:p>
            <w:r/>
            <w:r>
              <w:rPr>
                <w:sz w:val="19"/>
              </w:rPr>
              <w:t>Total liabilities : equity</w:t>
            </w:r>
          </w:p>
        </w:tc>
        <w:tc>
          <w:tcPr>
            <w:tcW w:type="dxa" w:w="1008"/>
          </w:tcPr>
          <w:p>
            <w:r/>
            <w:r>
              <w:rPr>
                <w:sz w:val="19"/>
              </w:rPr>
              <w:t>4.45</w:t>
            </w:r>
          </w:p>
        </w:tc>
        <w:tc>
          <w:tcPr>
            <w:tcW w:type="dxa" w:w="1008"/>
          </w:tcPr>
          <w:p>
            <w:r/>
            <w:r>
              <w:rPr>
                <w:sz w:val="19"/>
              </w:rPr>
              <w:t>2.55</w:t>
            </w:r>
          </w:p>
        </w:tc>
        <w:tc>
          <w:tcPr>
            <w:tcW w:type="dxa" w:w="3312"/>
          </w:tcPr>
          <w:p>
            <w:r/>
            <w:r>
              <w:rPr>
                <w:sz w:val="19"/>
              </w:rPr>
              <w:t>Total liabilities ÷ equity</w:t>
            </w:r>
          </w:p>
        </w:tc>
        <w:tc>
          <w:tcPr>
            <w:tcW w:type="dxa" w:w="3312"/>
          </w:tcPr>
          <w:p>
            <w:r/>
            <w:r>
              <w:rPr>
                <w:sz w:val="19"/>
              </w:rPr>
              <w:t>Balance sheet increasingly funded by creditors</w:t>
            </w:r>
          </w:p>
        </w:tc>
      </w:tr>
      <w:tr>
        <w:tc>
          <w:tcPr>
            <w:tcW w:type="dxa" w:w="2448"/>
          </w:tcPr>
          <w:p>
            <w:r/>
            <w:r>
              <w:rPr>
                <w:sz w:val="19"/>
              </w:rPr>
              <w:t>Equity ratio</w:t>
            </w:r>
          </w:p>
        </w:tc>
        <w:tc>
          <w:tcPr>
            <w:tcW w:type="dxa" w:w="1008"/>
          </w:tcPr>
          <w:p>
            <w:r/>
            <w:r>
              <w:rPr>
                <w:sz w:val="19"/>
              </w:rPr>
              <w:t>18.4%</w:t>
            </w:r>
          </w:p>
        </w:tc>
        <w:tc>
          <w:tcPr>
            <w:tcW w:type="dxa" w:w="1008"/>
          </w:tcPr>
          <w:p>
            <w:r/>
            <w:r>
              <w:rPr>
                <w:sz w:val="19"/>
              </w:rPr>
              <w:t>28.2%</w:t>
            </w:r>
          </w:p>
        </w:tc>
        <w:tc>
          <w:tcPr>
            <w:tcW w:type="dxa" w:w="3312"/>
          </w:tcPr>
          <w:p>
            <w:r/>
            <w:r>
              <w:rPr>
                <w:sz w:val="19"/>
              </w:rPr>
              <w:t>Equity ÷ total assets</w:t>
            </w:r>
          </w:p>
        </w:tc>
        <w:tc>
          <w:tcPr>
            <w:tcW w:type="dxa" w:w="3312"/>
          </w:tcPr>
          <w:p>
            <w:r/>
            <w:r>
              <w:rPr>
                <w:sz w:val="19"/>
              </w:rPr>
              <w:t>Equity buffer almost halved (accumulated loss 351 → 1 395)</w:t>
            </w:r>
          </w:p>
        </w:tc>
      </w:tr>
      <w:tr>
        <w:tc>
          <w:tcPr>
            <w:tcW w:type="dxa" w:w="2448"/>
          </w:tcPr>
          <w:p>
            <w:r/>
            <w:r>
              <w:rPr>
                <w:sz w:val="19"/>
              </w:rPr>
              <w:t>Net debt</w:t>
            </w:r>
          </w:p>
        </w:tc>
        <w:tc>
          <w:tcPr>
            <w:tcW w:type="dxa" w:w="1008"/>
          </w:tcPr>
          <w:p>
            <w:r/>
            <w:r>
              <w:rPr>
                <w:sz w:val="19"/>
              </w:rPr>
              <w:t>R2 592</w:t>
            </w:r>
          </w:p>
        </w:tc>
        <w:tc>
          <w:tcPr>
            <w:tcW w:type="dxa" w:w="1008"/>
          </w:tcPr>
          <w:p>
            <w:r/>
            <w:r>
              <w:rPr>
                <w:sz w:val="19"/>
              </w:rPr>
              <w:t>R2 178</w:t>
            </w:r>
          </w:p>
        </w:tc>
        <w:tc>
          <w:tcPr>
            <w:tcW w:type="dxa" w:w="3312"/>
          </w:tcPr>
          <w:p>
            <w:r/>
            <w:r>
              <w:rPr>
                <w:sz w:val="19"/>
              </w:rPr>
              <w:t>Borrowings − cash</w:t>
            </w:r>
          </w:p>
        </w:tc>
        <w:tc>
          <w:tcPr>
            <w:tcW w:type="dxa" w:w="3312"/>
          </w:tcPr>
          <w:p>
            <w:r/>
            <w:r>
              <w:rPr>
                <w:sz w:val="19"/>
              </w:rPr>
              <w:t>Rising net debt against falling earnings</w:t>
            </w:r>
          </w:p>
        </w:tc>
      </w:tr>
      <w:tr>
        <w:tc>
          <w:tcPr>
            <w:tcW w:type="dxa" w:w="2448"/>
          </w:tcPr>
          <w:p>
            <w:r/>
            <w:r>
              <w:rPr>
                <w:sz w:val="19"/>
              </w:rPr>
              <w:t>Interest cover</w:t>
            </w:r>
          </w:p>
        </w:tc>
        <w:tc>
          <w:tcPr>
            <w:tcW w:type="dxa" w:w="1008"/>
          </w:tcPr>
          <w:p>
            <w:r/>
            <w:r>
              <w:rPr>
                <w:sz w:val="19"/>
              </w:rPr>
              <w:t>none</w:t>
            </w:r>
          </w:p>
        </w:tc>
        <w:tc>
          <w:tcPr>
            <w:tcW w:type="dxa" w:w="1008"/>
          </w:tcPr>
          <w:p>
            <w:r/>
            <w:r>
              <w:rPr>
                <w:sz w:val="19"/>
              </w:rPr>
              <w:t>none</w:t>
            </w:r>
          </w:p>
        </w:tc>
        <w:tc>
          <w:tcPr>
            <w:tcW w:type="dxa" w:w="3312"/>
          </w:tcPr>
          <w:p>
            <w:r/>
            <w:r>
              <w:rPr>
                <w:sz w:val="19"/>
              </w:rPr>
              <w:t>Operating profit ÷ finance cost</w:t>
            </w:r>
          </w:p>
        </w:tc>
        <w:tc>
          <w:tcPr>
            <w:tcW w:type="dxa" w:w="3312"/>
          </w:tcPr>
          <w:p>
            <w:r/>
            <w:r>
              <w:rPr>
                <w:sz w:val="19"/>
              </w:rPr>
              <w:t>Operating LOSS — cannot cover finance costs from operations</w:t>
            </w:r>
          </w:p>
        </w:tc>
      </w:tr>
    </w:tbl>
    <w:p>
      <w:pPr>
        <w:spacing w:after="40"/>
      </w:pPr>
      <w:r>
        <w:rPr>
          <w:b/>
          <w:i w:val="0"/>
          <w:sz w:val="22"/>
        </w:rPr>
        <w:t>1.4 Efficiency / working capital</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shd w:val="clear" w:fill="1f3d6b"/>
          </w:tcPr>
          <w:p>
            <w:r/>
            <w:r>
              <w:rPr>
                <w:b/>
                <w:color w:val="FFFFFF"/>
                <w:sz w:val="19"/>
              </w:rPr>
              <w:t>Ratio</w:t>
            </w:r>
          </w:p>
        </w:tc>
        <w:tc>
          <w:tcPr>
            <w:tcW w:type="dxa" w:w="1152"/>
            <w:shd w:val="clear" w:fill="1f3d6b"/>
          </w:tcPr>
          <w:p>
            <w:r/>
            <w:r>
              <w:rPr>
                <w:b/>
                <w:color w:val="FFFFFF"/>
                <w:sz w:val="19"/>
              </w:rPr>
              <w:t>2026</w:t>
            </w:r>
          </w:p>
        </w:tc>
        <w:tc>
          <w:tcPr>
            <w:tcW w:type="dxa" w:w="1152"/>
            <w:shd w:val="clear" w:fill="1f3d6b"/>
          </w:tcPr>
          <w:p>
            <w:r/>
            <w:r>
              <w:rPr>
                <w:b/>
                <w:color w:val="FFFFFF"/>
                <w:sz w:val="19"/>
              </w:rPr>
              <w:t>2025</w:t>
            </w:r>
          </w:p>
        </w:tc>
        <w:tc>
          <w:tcPr>
            <w:tcW w:type="dxa" w:w="4896"/>
            <w:shd w:val="clear" w:fill="1f3d6b"/>
          </w:tcPr>
          <w:p>
            <w:r/>
            <w:r>
              <w:rPr>
                <w:b/>
                <w:color w:val="FFFFFF"/>
                <w:sz w:val="19"/>
              </w:rPr>
              <w:t>Comment</w:t>
            </w:r>
          </w:p>
        </w:tc>
      </w:tr>
      <w:tr>
        <w:tc>
          <w:tcPr>
            <w:tcW w:type="dxa" w:w="2736"/>
          </w:tcPr>
          <w:p>
            <w:r/>
            <w:r>
              <w:rPr>
                <w:sz w:val="19"/>
              </w:rPr>
              <w:t>Receivables days</w:t>
            </w:r>
          </w:p>
        </w:tc>
        <w:tc>
          <w:tcPr>
            <w:tcW w:type="dxa" w:w="1152"/>
          </w:tcPr>
          <w:p>
            <w:r/>
            <w:r>
              <w:rPr>
                <w:sz w:val="19"/>
              </w:rPr>
              <w:t>~39</w:t>
            </w:r>
          </w:p>
        </w:tc>
        <w:tc>
          <w:tcPr>
            <w:tcW w:type="dxa" w:w="1152"/>
          </w:tcPr>
          <w:p>
            <w:r/>
            <w:r>
              <w:rPr>
                <w:sz w:val="19"/>
              </w:rPr>
              <w:t>~62</w:t>
            </w:r>
          </w:p>
        </w:tc>
        <w:tc>
          <w:tcPr>
            <w:tcW w:type="dxa" w:w="4896"/>
          </w:tcPr>
          <w:p>
            <w:r/>
            <w:r>
              <w:rPr>
                <w:sz w:val="19"/>
              </w:rPr>
              <w:t>Improved — but partly because revenue is lower</w:t>
            </w:r>
          </w:p>
        </w:tc>
      </w:tr>
      <w:tr>
        <w:tc>
          <w:tcPr>
            <w:tcW w:type="dxa" w:w="2736"/>
          </w:tcPr>
          <w:p>
            <w:r/>
            <w:r>
              <w:rPr>
                <w:sz w:val="19"/>
              </w:rPr>
              <w:t>Inventory days</w:t>
            </w:r>
          </w:p>
        </w:tc>
        <w:tc>
          <w:tcPr>
            <w:tcW w:type="dxa" w:w="1152"/>
          </w:tcPr>
          <w:p>
            <w:r/>
            <w:r>
              <w:rPr>
                <w:sz w:val="19"/>
              </w:rPr>
              <w:t>~50</w:t>
            </w:r>
          </w:p>
        </w:tc>
        <w:tc>
          <w:tcPr>
            <w:tcW w:type="dxa" w:w="1152"/>
          </w:tcPr>
          <w:p>
            <w:r/>
            <w:r>
              <w:rPr>
                <w:sz w:val="19"/>
              </w:rPr>
              <w:t>~59</w:t>
            </w:r>
          </w:p>
        </w:tc>
        <w:tc>
          <w:tcPr>
            <w:tcW w:type="dxa" w:w="4896"/>
          </w:tcPr>
          <w:p>
            <w:r/>
            <w:r>
              <w:rPr>
                <w:sz w:val="19"/>
              </w:rPr>
              <w:t>Inventory reduced (R459m → R315m); watch for forced/low-price sales</w:t>
            </w:r>
          </w:p>
        </w:tc>
      </w:tr>
      <w:tr>
        <w:tc>
          <w:tcPr>
            <w:tcW w:type="dxa" w:w="2736"/>
          </w:tcPr>
          <w:p>
            <w:r/>
            <w:r>
              <w:rPr>
                <w:sz w:val="19"/>
              </w:rPr>
              <w:t>Payables days</w:t>
            </w:r>
          </w:p>
        </w:tc>
        <w:tc>
          <w:tcPr>
            <w:tcW w:type="dxa" w:w="1152"/>
          </w:tcPr>
          <w:p>
            <w:r/>
            <w:r>
              <w:rPr>
                <w:sz w:val="19"/>
              </w:rPr>
              <w:t>~47</w:t>
            </w:r>
          </w:p>
        </w:tc>
        <w:tc>
          <w:tcPr>
            <w:tcW w:type="dxa" w:w="1152"/>
          </w:tcPr>
          <w:p>
            <w:r/>
            <w:r>
              <w:rPr>
                <w:sz w:val="19"/>
              </w:rPr>
              <w:t>~91</w:t>
            </w:r>
          </w:p>
        </w:tc>
        <w:tc>
          <w:tcPr>
            <w:tcW w:type="dxa" w:w="4896"/>
          </w:tcPr>
          <w:p>
            <w:r/>
            <w:r>
              <w:rPr>
                <w:sz w:val="19"/>
              </w:rPr>
              <w:t>Paying suppliers much faster — a further drain on cash</w:t>
            </w:r>
          </w:p>
        </w:tc>
      </w:tr>
      <w:tr>
        <w:tc>
          <w:tcPr>
            <w:tcW w:type="dxa" w:w="2736"/>
          </w:tcPr>
          <w:p>
            <w:r/>
            <w:r>
              <w:rPr>
                <w:sz w:val="19"/>
              </w:rPr>
              <w:t>Asset turnover</w:t>
            </w:r>
          </w:p>
        </w:tc>
        <w:tc>
          <w:tcPr>
            <w:tcW w:type="dxa" w:w="1152"/>
          </w:tcPr>
          <w:p>
            <w:r/>
            <w:r>
              <w:rPr>
                <w:sz w:val="19"/>
              </w:rPr>
              <w:t>0.38</w:t>
            </w:r>
          </w:p>
        </w:tc>
        <w:tc>
          <w:tcPr>
            <w:tcW w:type="dxa" w:w="1152"/>
          </w:tcPr>
          <w:p>
            <w:r/>
            <w:r>
              <w:rPr>
                <w:sz w:val="19"/>
              </w:rPr>
              <w:t>0.41</w:t>
            </w:r>
          </w:p>
        </w:tc>
        <w:tc>
          <w:tcPr>
            <w:tcW w:type="dxa" w:w="4896"/>
          </w:tcPr>
          <w:p>
            <w:r/>
            <w:r>
              <w:rPr>
                <w:sz w:val="19"/>
              </w:rPr>
              <w:t>Assets sweating slightly less as revenue falls</w:t>
            </w:r>
          </w:p>
        </w:tc>
      </w:tr>
    </w:tbl>
    <w:p>
      <w:pPr>
        <w:spacing w:after="80"/>
      </w:pPr>
      <w:r>
        <w:rPr>
          <w:b/>
          <w:i w:val="0"/>
          <w:sz w:val="19"/>
        </w:rPr>
        <w:t>Overall: a loss-making, highly geared business with a liquidity crisis, wholly dependent on the refinancing (bank extension + rights issue + shareholder-loan restructure) to remain a going concern. Keep this reality in mind when judging the incentive KPIs.</w:t>
      </w:r>
    </w:p>
    <w:p>
      <w:pPr>
        <w:spacing w:before="200" w:after="60"/>
        <w:pBdr>
          <w:bottom w:val="single" w:sz="6" w:space="2" w:color="808080"/>
        </w:pBdr>
      </w:pPr>
      <w:r>
        <w:rPr>
          <w:b/>
          <w:color w:val="1F3D6B"/>
          <w:sz w:val="26"/>
        </w:rPr>
        <w:t>2. Critical evaluation of Diamante’s proposed KPIs</w:t>
      </w:r>
    </w:p>
    <w:p>
      <w:pPr>
        <w:spacing w:after="80"/>
      </w:pPr>
      <w:r>
        <w:rPr>
          <w:b w:val="0"/>
          <w:i/>
          <w:sz w:val="19"/>
        </w:rPr>
        <w:t>The scheme grants management shares worth 3–5× salary, with the number of shares set at the vesting date (share price then), vesting annually over three years if the KPIs are met. The five KPIs are evaluated against good KPI-design principles below.</w:t>
      </w:r>
    </w:p>
    <w:tbl>
      <w:tblPr>
        <w:tblStyle w:val="TableGrid"/>
        <w:tblW w:type="auto" w:w="0"/>
        <w:jc w:val="center"/>
        <w:tblLook w:firstColumn="1" w:firstRow="1" w:lastColumn="0" w:lastRow="0" w:noHBand="0" w:noVBand="1" w:val="04A0"/>
      </w:tblPr>
      <w:tblGrid>
        <w:gridCol w:w="3408"/>
        <w:gridCol w:w="3408"/>
        <w:gridCol w:w="3408"/>
      </w:tblGrid>
      <w:tr>
        <w:tc>
          <w:tcPr>
            <w:tcW w:type="dxa" w:w="2448"/>
            <w:shd w:val="clear" w:fill="1f3d6b"/>
          </w:tcPr>
          <w:p>
            <w:r/>
            <w:r>
              <w:rPr>
                <w:b/>
                <w:color w:val="FFFFFF"/>
                <w:sz w:val="19"/>
              </w:rPr>
              <w:t>KPI</w:t>
            </w:r>
          </w:p>
        </w:tc>
        <w:tc>
          <w:tcPr>
            <w:tcW w:type="dxa" w:w="2448"/>
            <w:shd w:val="clear" w:fill="1f3d6b"/>
          </w:tcPr>
          <w:p>
            <w:r/>
            <w:r>
              <w:rPr>
                <w:b/>
                <w:color w:val="FFFFFF"/>
                <w:sz w:val="19"/>
              </w:rPr>
              <w:t>Intended purpose</w:t>
            </w:r>
          </w:p>
        </w:tc>
        <w:tc>
          <w:tcPr>
            <w:tcW w:type="dxa" w:w="6336"/>
            <w:shd w:val="clear" w:fill="1f3d6b"/>
          </w:tcPr>
          <w:p>
            <w:r/>
            <w:r>
              <w:rPr>
                <w:b/>
                <w:color w:val="FFFFFF"/>
                <w:sz w:val="19"/>
              </w:rPr>
              <w:t>Critical evaluation</w:t>
            </w:r>
          </w:p>
        </w:tc>
      </w:tr>
      <w:tr>
        <w:tc>
          <w:tcPr>
            <w:tcW w:type="dxa" w:w="2448"/>
          </w:tcPr>
          <w:p>
            <w:r/>
            <w:r>
              <w:rPr>
                <w:sz w:val="19"/>
              </w:rPr>
              <w:t>1. Mining cost growth (excl. impairments) below inflation</w:t>
            </w:r>
          </w:p>
        </w:tc>
        <w:tc>
          <w:tcPr>
            <w:tcW w:type="dxa" w:w="2448"/>
          </w:tcPr>
          <w:p>
            <w:r/>
            <w:r>
              <w:rPr>
                <w:sz w:val="19"/>
              </w:rPr>
              <w:t>Reward cost control</w:t>
            </w:r>
          </w:p>
        </w:tc>
        <w:tc>
          <w:tcPr>
            <w:tcW w:type="dxa" w:w="6336"/>
          </w:tcPr>
          <w:p>
            <w:r/>
            <w:r>
              <w:rPr>
                <w:sz w:val="19"/>
              </w:rPr>
              <w:t>Reasonable: controllable and correctly excludes impairments. BUT costs already exceed revenue, so "below inflation" is a low bar and won’t restore profit. Risk: cost-cutting on safety, rehabilitation or maintenance (unsustainable mining). Better measured as cost per carat.</w:t>
            </w:r>
          </w:p>
        </w:tc>
      </w:tr>
      <w:tr>
        <w:tc>
          <w:tcPr>
            <w:tcW w:type="dxa" w:w="2448"/>
          </w:tcPr>
          <w:p>
            <w:r/>
            <w:r>
              <w:rPr>
                <w:sz w:val="19"/>
              </w:rPr>
              <w:t>2. Net profit growth of at least 5%</w:t>
            </w:r>
          </w:p>
        </w:tc>
        <w:tc>
          <w:tcPr>
            <w:tcW w:type="dxa" w:w="2448"/>
          </w:tcPr>
          <w:p>
            <w:r/>
            <w:r>
              <w:rPr>
                <w:sz w:val="19"/>
              </w:rPr>
              <w:t>Ensure shareholders benefit</w:t>
            </w:r>
          </w:p>
        </w:tc>
        <w:tc>
          <w:tcPr>
            <w:tcW w:type="dxa" w:w="6336"/>
          </w:tcPr>
          <w:p>
            <w:r/>
            <w:r>
              <w:rPr>
                <w:sz w:val="19"/>
              </w:rPr>
              <w:t>Poorly designed. The company made a R1 044m LOSS — you cannot "grow" a negative by 5%, so the target is unachievable/meaningless. Also largely uncontrollable (US$ diamond price, currency, impairments). Perverse risk: encourages profit "manufactured" by asset sales (like the R405m mine-sale profit) or delaying impairments.</w:t>
            </w:r>
          </w:p>
        </w:tc>
      </w:tr>
      <w:tr>
        <w:tc>
          <w:tcPr>
            <w:tcW w:type="dxa" w:w="2448"/>
          </w:tcPr>
          <w:p>
            <w:r/>
            <w:r>
              <w:rPr>
                <w:sz w:val="19"/>
              </w:rPr>
              <w:t>3. High-value diamonds as a % of total mined</w:t>
            </w:r>
          </w:p>
        </w:tc>
        <w:tc>
          <w:tcPr>
            <w:tcW w:type="dxa" w:w="2448"/>
          </w:tcPr>
          <w:p>
            <w:r/>
            <w:r>
              <w:rPr>
                <w:sz w:val="19"/>
              </w:rPr>
              <w:t>Reward the value-led strategy</w:t>
            </w:r>
          </w:p>
        </w:tc>
        <w:tc>
          <w:tcPr>
            <w:tcW w:type="dxa" w:w="6336"/>
          </w:tcPr>
          <w:p>
            <w:r/>
            <w:r>
              <w:rPr>
                <w:sz w:val="19"/>
              </w:rPr>
              <w:t>Well aligned to strategy (quality over quantity). BUT heavily geology-dependent (not fully controllable) and "high-value" is subjective/manipulable. Perverse risk: cherry-picking rich blocks and sterilising lower-grade ore — short-term optics, long-term value destruction of the resource.</w:t>
            </w:r>
          </w:p>
        </w:tc>
      </w:tr>
      <w:tr>
        <w:tc>
          <w:tcPr>
            <w:tcW w:type="dxa" w:w="2448"/>
          </w:tcPr>
          <w:p>
            <w:r/>
            <w:r>
              <w:rPr>
                <w:sz w:val="19"/>
              </w:rPr>
              <w:t>4. Reduction in inventories</w:t>
            </w:r>
          </w:p>
        </w:tc>
        <w:tc>
          <w:tcPr>
            <w:tcW w:type="dxa" w:w="2448"/>
          </w:tcPr>
          <w:p>
            <w:r/>
            <w:r>
              <w:rPr>
                <w:sz w:val="19"/>
              </w:rPr>
              <w:t>Free up cash</w:t>
            </w:r>
          </w:p>
        </w:tc>
        <w:tc>
          <w:tcPr>
            <w:tcW w:type="dxa" w:w="6336"/>
          </w:tcPr>
          <w:p>
            <w:r/>
            <w:r>
              <w:rPr>
                <w:sz w:val="19"/>
              </w:rPr>
              <w:t>Relevant given the liquidity crisis. BUT directly conflicts with the stated strategy of DEFERRING tenders when prices are weak — pushing sales in a weak market erodes value. Manipulable (write-downs also "reduce" inventory). Short-term cash vs long-term value tension.</w:t>
            </w:r>
          </w:p>
        </w:tc>
      </w:tr>
      <w:tr>
        <w:tc>
          <w:tcPr>
            <w:tcW w:type="dxa" w:w="2448"/>
          </w:tcPr>
          <w:p>
            <w:r/>
            <w:r>
              <w:rPr>
                <w:sz w:val="19"/>
              </w:rPr>
              <w:t>5. EY Excellence in integrated reporting rating</w:t>
            </w:r>
          </w:p>
        </w:tc>
        <w:tc>
          <w:tcPr>
            <w:tcW w:type="dxa" w:w="2448"/>
          </w:tcPr>
          <w:p>
            <w:r/>
            <w:r>
              <w:rPr>
                <w:sz w:val="19"/>
              </w:rPr>
              <w:t>Reward ESG / reporting excellence</w:t>
            </w:r>
          </w:p>
        </w:tc>
        <w:tc>
          <w:tcPr>
            <w:tcW w:type="dxa" w:w="6336"/>
          </w:tcPr>
          <w:p>
            <w:r/>
            <w:r>
              <w:rPr>
                <w:sz w:val="19"/>
              </w:rPr>
              <w:t>Encourages integrated thinking, but rewards the QUALITY OF REPORTING, not actual ESG performance → greenwashing risk. It is an external, subjective award largely outside management’s direct control, and one narrow proxy for ESG.</w:t>
            </w:r>
          </w:p>
        </w:tc>
      </w:tr>
    </w:tbl>
    <w:p>
      <w:pPr>
        <w:spacing w:after="40"/>
      </w:pPr>
      <w:r>
        <w:rPr>
          <w:b/>
          <w:i w:val="0"/>
          <w:sz w:val="21"/>
        </w:rPr>
        <w:t>General KPI-design weaknesses (across the scheme):</w:t>
      </w:r>
    </w:p>
    <w:p>
      <w:pPr>
        <w:pStyle w:val="ListBullet"/>
        <w:spacing w:after="40"/>
      </w:pPr>
      <w:r>
        <w:rPr>
          <w:sz w:val="19"/>
        </w:rPr>
        <w:t>Controllability: several KPIs are driven by things management cannot control (diamond price in US$, exchange rate, geology, an external rating). Good KPIs isolate what management can actually influence.</w:t>
      </w:r>
    </w:p>
    <w:p>
      <w:pPr>
        <w:pStyle w:val="ListBullet"/>
        <w:spacing w:after="40"/>
      </w:pPr>
      <w:r>
        <w:rPr>
          <w:sz w:val="19"/>
        </w:rPr>
        <w:t>Achievability/realism: a profit-growth target on a loss-making company is not realistic → either demotivating or an incentive to manipulate.</w:t>
      </w:r>
    </w:p>
    <w:p>
      <w:pPr>
        <w:pStyle w:val="ListBullet"/>
        <w:spacing w:after="40"/>
      </w:pPr>
      <w:r>
        <w:rPr>
          <w:sz w:val="19"/>
        </w:rPr>
        <w:t>Manipulation / gaming: KPIs 2, 3 and 4 can each be "hit" by actions that damage long-term value (asset sales, sterilising ore, fire-sales of stock).</w:t>
      </w:r>
    </w:p>
    <w:p>
      <w:pPr>
        <w:pStyle w:val="ListBullet"/>
        <w:spacing w:after="40"/>
      </w:pPr>
      <w:r>
        <w:rPr>
          <w:sz w:val="19"/>
        </w:rPr>
        <w:t>Balance &amp; tiering: no split between financial and non-financial, leading vs lagging, or tiers for different levels of responsibility; safety and rehabilitation (core mining risks) are not rewarded at all.</w:t>
      </w:r>
    </w:p>
    <w:p>
      <w:pPr>
        <w:pStyle w:val="ListBullet"/>
        <w:spacing w:after="40"/>
      </w:pPr>
      <w:r>
        <w:rPr>
          <w:sz w:val="19"/>
        </w:rPr>
        <w:t>Strategy &amp; going-concern link: the KPIs are only loosely tied to the real priority — survival, cash and value-led production. There is no explicit liquidity/cash or refinancing-milestone measure.</w:t>
      </w:r>
    </w:p>
    <w:p>
      <w:pPr>
        <w:spacing w:before="200" w:after="60"/>
        <w:pBdr>
          <w:bottom w:val="single" w:sz="6" w:space="2" w:color="808080"/>
        </w:pBdr>
      </w:pPr>
      <w:r>
        <w:rPr>
          <w:b/>
          <w:color w:val="1F3D6B"/>
          <w:sz w:val="26"/>
        </w:rPr>
        <w:t>3. Recommended alternative / additional KPI structures</w:t>
      </w:r>
    </w:p>
    <w:p>
      <w:pPr>
        <w:spacing w:after="80"/>
      </w:pPr>
      <w:r>
        <w:rPr>
          <w:b w:val="0"/>
          <w:i/>
          <w:sz w:val="19"/>
        </w:rPr>
        <w:t>Recommended KPIs that would be viable, controllable and better aligned to Diamante’s strategy and its survival:</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val="clear" w:fill="1f3d6b"/>
          </w:tcPr>
          <w:p>
            <w:r/>
            <w:r>
              <w:rPr>
                <w:b/>
                <w:color w:val="FFFFFF"/>
                <w:sz w:val="19"/>
              </w:rPr>
              <w:t>Theme</w:t>
            </w:r>
          </w:p>
        </w:tc>
        <w:tc>
          <w:tcPr>
            <w:tcW w:type="dxa" w:w="4464"/>
            <w:shd w:val="clear" w:fill="1f3d6b"/>
          </w:tcPr>
          <w:p>
            <w:r/>
            <w:r>
              <w:rPr>
                <w:b/>
                <w:color w:val="FFFFFF"/>
                <w:sz w:val="19"/>
              </w:rPr>
              <w:t>Recommended KPI (replace / add)</w:t>
            </w:r>
          </w:p>
        </w:tc>
        <w:tc>
          <w:tcPr>
            <w:tcW w:type="dxa" w:w="4464"/>
            <w:shd w:val="clear" w:fill="1f3d6b"/>
          </w:tcPr>
          <w:p>
            <w:r/>
            <w:r>
              <w:rPr>
                <w:b/>
                <w:color w:val="FFFFFF"/>
                <w:sz w:val="19"/>
              </w:rPr>
              <w:t>Why it works for Diamante</w:t>
            </w:r>
          </w:p>
        </w:tc>
      </w:tr>
      <w:tr>
        <w:tc>
          <w:tcPr>
            <w:tcW w:type="dxa" w:w="2304"/>
          </w:tcPr>
          <w:p>
            <w:r/>
            <w:r>
              <w:rPr>
                <w:sz w:val="19"/>
              </w:rPr>
              <w:t>Survival / liquidity</w:t>
            </w:r>
          </w:p>
        </w:tc>
        <w:tc>
          <w:tcPr>
            <w:tcW w:type="dxa" w:w="4464"/>
          </w:tcPr>
          <w:p>
            <w:r/>
            <w:r>
              <w:rPr>
                <w:sz w:val="19"/>
              </w:rPr>
              <w:t>Free cash flow generated; net-debt reduction; covenant compliance; refinancing milestones met</w:t>
            </w:r>
          </w:p>
        </w:tc>
        <w:tc>
          <w:tcPr>
            <w:tcW w:type="dxa" w:w="4464"/>
          </w:tcPr>
          <w:p>
            <w:r/>
            <w:r>
              <w:rPr>
                <w:sz w:val="19"/>
              </w:rPr>
              <w:t>Directly targets the #1 issue (going concern) and is largely controllable</w:t>
            </w:r>
          </w:p>
        </w:tc>
      </w:tr>
      <w:tr>
        <w:tc>
          <w:tcPr>
            <w:tcW w:type="dxa" w:w="2304"/>
          </w:tcPr>
          <w:p>
            <w:r/>
            <w:r>
              <w:rPr>
                <w:sz w:val="19"/>
              </w:rPr>
              <w:t>Profitability (realistic)</w:t>
            </w:r>
          </w:p>
        </w:tc>
        <w:tc>
          <w:tcPr>
            <w:tcW w:type="dxa" w:w="4464"/>
          </w:tcPr>
          <w:p>
            <w:r/>
            <w:r>
              <w:rPr>
                <w:sz w:val="19"/>
              </w:rPr>
              <w:t>Reduction in operating loss / achieving positive EBITDA; cost per carat</w:t>
            </w:r>
          </w:p>
        </w:tc>
        <w:tc>
          <w:tcPr>
            <w:tcW w:type="dxa" w:w="4464"/>
          </w:tcPr>
          <w:p>
            <w:r/>
            <w:r>
              <w:rPr>
                <w:sz w:val="19"/>
              </w:rPr>
              <w:t>Achievable stepping-stone instead of an impossible "profit growth"</w:t>
            </w:r>
          </w:p>
        </w:tc>
      </w:tr>
      <w:tr>
        <w:tc>
          <w:tcPr>
            <w:tcW w:type="dxa" w:w="2304"/>
          </w:tcPr>
          <w:p>
            <w:r/>
            <w:r>
              <w:rPr>
                <w:sz w:val="19"/>
              </w:rPr>
              <w:t>Cost control</w:t>
            </w:r>
          </w:p>
        </w:tc>
        <w:tc>
          <w:tcPr>
            <w:tcW w:type="dxa" w:w="4464"/>
          </w:tcPr>
          <w:p>
            <w:r/>
            <w:r>
              <w:rPr>
                <w:sz w:val="19"/>
              </w:rPr>
              <w:t>Unit cost per carat vs budget (controllable cost variance)</w:t>
            </w:r>
          </w:p>
        </w:tc>
        <w:tc>
          <w:tcPr>
            <w:tcW w:type="dxa" w:w="4464"/>
          </w:tcPr>
          <w:p>
            <w:r/>
            <w:r>
              <w:rPr>
                <w:sz w:val="19"/>
              </w:rPr>
              <w:t>Rewards efficiency without encouraging harmful blanket cost-cutting</w:t>
            </w:r>
          </w:p>
        </w:tc>
      </w:tr>
      <w:tr>
        <w:tc>
          <w:tcPr>
            <w:tcW w:type="dxa" w:w="2304"/>
          </w:tcPr>
          <w:p>
            <w:r/>
            <w:r>
              <w:rPr>
                <w:sz w:val="19"/>
              </w:rPr>
              <w:t>Value-led strategy</w:t>
            </w:r>
          </w:p>
        </w:tc>
        <w:tc>
          <w:tcPr>
            <w:tcW w:type="dxa" w:w="4464"/>
          </w:tcPr>
          <w:p>
            <w:r/>
            <w:r>
              <w:rPr>
                <w:sz w:val="19"/>
              </w:rPr>
              <w:t>Realised value (US$) per carat / grade recovery — with a guardrail against sterilising ore</w:t>
            </w:r>
          </w:p>
        </w:tc>
        <w:tc>
          <w:tcPr>
            <w:tcW w:type="dxa" w:w="4464"/>
          </w:tcPr>
          <w:p>
            <w:r/>
            <w:r>
              <w:rPr>
                <w:sz w:val="19"/>
              </w:rPr>
              <w:t>Rewards the quality strategy while protecting the ore body</w:t>
            </w:r>
          </w:p>
        </w:tc>
      </w:tr>
      <w:tr>
        <w:tc>
          <w:tcPr>
            <w:tcW w:type="dxa" w:w="2304"/>
          </w:tcPr>
          <w:p>
            <w:r/>
            <w:r>
              <w:rPr>
                <w:sz w:val="19"/>
              </w:rPr>
              <w:t>Market-adjusted (relative)</w:t>
            </w:r>
          </w:p>
        </w:tc>
        <w:tc>
          <w:tcPr>
            <w:tcW w:type="dxa" w:w="4464"/>
          </w:tcPr>
          <w:p>
            <w:r/>
            <w:r>
              <w:rPr>
                <w:sz w:val="19"/>
              </w:rPr>
              <w:t>Performance vs a diamond-price index or peers (e.g. De Beers / Petra)</w:t>
            </w:r>
          </w:p>
        </w:tc>
        <w:tc>
          <w:tcPr>
            <w:tcW w:type="dxa" w:w="4464"/>
          </w:tcPr>
          <w:p>
            <w:r/>
            <w:r>
              <w:rPr>
                <w:sz w:val="19"/>
              </w:rPr>
              <w:t>Strips out uncontrollable price &amp; currency so pay reflects real performance</w:t>
            </w:r>
          </w:p>
        </w:tc>
      </w:tr>
      <w:tr>
        <w:tc>
          <w:tcPr>
            <w:tcW w:type="dxa" w:w="2304"/>
          </w:tcPr>
          <w:p>
            <w:r/>
            <w:r>
              <w:rPr>
                <w:sz w:val="19"/>
              </w:rPr>
              <w:t>Safety &amp; sustainability</w:t>
            </w:r>
          </w:p>
        </w:tc>
        <w:tc>
          <w:tcPr>
            <w:tcW w:type="dxa" w:w="4464"/>
          </w:tcPr>
          <w:p>
            <w:r/>
            <w:r>
              <w:rPr>
                <w:sz w:val="19"/>
              </w:rPr>
              <w:t>Injury frequency rate (TRIFR); tailings &amp; rehabilitation compliance; GHG cut vs the 35–40% Scope 1&amp;2 roadmap</w:t>
            </w:r>
          </w:p>
        </w:tc>
        <w:tc>
          <w:tcPr>
            <w:tcW w:type="dxa" w:w="4464"/>
          </w:tcPr>
          <w:p>
            <w:r/>
            <w:r>
              <w:rPr>
                <w:sz w:val="19"/>
              </w:rPr>
              <w:t>Counters the "unsustainable mining" risk; genuine ESG substance, not just a report rating</w:t>
            </w:r>
          </w:p>
        </w:tc>
      </w:tr>
      <w:tr>
        <w:tc>
          <w:tcPr>
            <w:tcW w:type="dxa" w:w="2304"/>
          </w:tcPr>
          <w:p>
            <w:r/>
            <w:r>
              <w:rPr>
                <w:sz w:val="19"/>
              </w:rPr>
              <w:t>ESG (substance)</w:t>
            </w:r>
          </w:p>
        </w:tc>
        <w:tc>
          <w:tcPr>
            <w:tcW w:type="dxa" w:w="4464"/>
          </w:tcPr>
          <w:p>
            <w:r/>
            <w:r>
              <w:rPr>
                <w:sz w:val="19"/>
              </w:rPr>
              <w:t>Actual emissions / water / rehabilitation outcomes</w:t>
            </w:r>
          </w:p>
        </w:tc>
        <w:tc>
          <w:tcPr>
            <w:tcW w:type="dxa" w:w="4464"/>
          </w:tcPr>
          <w:p>
            <w:r/>
            <w:r>
              <w:rPr>
                <w:sz w:val="19"/>
              </w:rPr>
              <w:t>Measures real ESG, not just the integrated-report award</w:t>
            </w:r>
          </w:p>
        </w:tc>
      </w:tr>
    </w:tbl>
    <w:p>
      <w:pPr>
        <w:spacing w:after="40"/>
      </w:pPr>
      <w:r>
        <w:rPr>
          <w:b/>
          <w:i w:val="0"/>
          <w:sz w:val="21"/>
        </w:rPr>
        <w:t>Structural recommendations for the scheme design:</w:t>
      </w:r>
    </w:p>
    <w:p>
      <w:pPr>
        <w:pStyle w:val="ListBullet"/>
        <w:spacing w:after="40"/>
      </w:pPr>
      <w:r>
        <w:rPr>
          <w:sz w:val="19"/>
        </w:rPr>
        <w:t>Use a balanced scorecard: a mix of financial, operational, and ESG/safety measures, and both leading and lagging indicators.</w:t>
      </w:r>
    </w:p>
    <w:p>
      <w:pPr>
        <w:pStyle w:val="ListBullet"/>
        <w:spacing w:after="40"/>
      </w:pPr>
      <w:r>
        <w:rPr>
          <w:sz w:val="19"/>
        </w:rPr>
        <w:t>Tier the targets by level of responsibility (executives on group/strategic measures; operational managers on mine-level measures they control).</w:t>
      </w:r>
    </w:p>
    <w:p>
      <w:pPr>
        <w:pStyle w:val="ListBullet"/>
        <w:spacing w:after="40"/>
      </w:pPr>
      <w:r>
        <w:rPr>
          <w:sz w:val="19"/>
        </w:rPr>
        <w:t>Use relative / market-adjusted targets so pay is not driven by the diamond price or the Rand/Dollar rate.</w:t>
      </w:r>
    </w:p>
    <w:p>
      <w:pPr>
        <w:pStyle w:val="ListBullet"/>
        <w:spacing w:after="40"/>
      </w:pPr>
      <w:r>
        <w:rPr>
          <w:sz w:val="19"/>
        </w:rPr>
        <w:t>Add malus and clawback provisions, a cap on the award, and link vesting to going-concern / refinancing milestones — appropriate while the company is loss-making and asking shareholders for a rights issue.</w:t>
      </w:r>
    </w:p>
    <w:p>
      <w:pPr>
        <w:pStyle w:val="ListBullet"/>
        <w:spacing w:after="40"/>
      </w:pPr>
      <w:r>
        <w:rPr>
          <w:sz w:val="19"/>
        </w:rPr>
        <w:t>Benchmark against listed peers (De Beers / Anglo, Petra Diamonds) to sense-check both the measures and the quantum.</w:t>
      </w:r>
    </w:p>
    <w:p>
      <w:pPr>
        <w:pStyle w:val="ListBullet"/>
        <w:spacing w:after="40"/>
      </w:pPr>
      <w:r>
        <w:rPr>
          <w:sz w:val="19"/>
        </w:rPr>
        <w:t>Have the remuneration committee document a clear remuneration policy, obtain shareholder (say-on-pay) approval, and keep minutes — see ethics/governance below.</w:t>
      </w:r>
    </w:p>
    <w:p>
      <w:pPr>
        <w:spacing w:before="200" w:after="60"/>
        <w:pBdr>
          <w:bottom w:val="single" w:sz="6" w:space="2" w:color="808080"/>
        </w:pBdr>
      </w:pPr>
      <w:r>
        <w:rPr>
          <w:b/>
          <w:color w:val="1F3D6B"/>
          <w:sz w:val="26"/>
        </w:rPr>
        <w:t>4. Ethical principles to consider in Document 5</w:t>
      </w:r>
    </w:p>
    <w:tbl>
      <w:tblPr>
        <w:tblStyle w:val="TableGrid"/>
        <w:tblW w:type="auto" w:w="0"/>
        <w:jc w:val="center"/>
        <w:tblLook w:firstColumn="1" w:firstRow="1" w:lastColumn="0" w:lastRow="0" w:noHBand="0" w:noVBand="1" w:val="04A0"/>
      </w:tblPr>
      <w:tblGrid>
        <w:gridCol w:w="3408"/>
        <w:gridCol w:w="3408"/>
        <w:gridCol w:w="3408"/>
      </w:tblGrid>
      <w:tr>
        <w:tc>
          <w:tcPr>
            <w:tcW w:type="dxa" w:w="3024"/>
            <w:shd w:val="clear" w:fill="1f3d6b"/>
          </w:tcPr>
          <w:p>
            <w:r/>
            <w:r>
              <w:rPr>
                <w:b/>
                <w:color w:val="FFFFFF"/>
                <w:sz w:val="19"/>
              </w:rPr>
              <w:t>Ethical / governance issue</w:t>
            </w:r>
          </w:p>
        </w:tc>
        <w:tc>
          <w:tcPr>
            <w:tcW w:type="dxa" w:w="5040"/>
            <w:shd w:val="clear" w:fill="1f3d6b"/>
          </w:tcPr>
          <w:p>
            <w:r/>
            <w:r>
              <w:rPr>
                <w:b/>
                <w:color w:val="FFFFFF"/>
                <w:sz w:val="19"/>
              </w:rPr>
              <w:t>Why it is a concern</w:t>
            </w:r>
          </w:p>
        </w:tc>
        <w:tc>
          <w:tcPr>
            <w:tcW w:type="dxa" w:w="3168"/>
            <w:shd w:val="clear" w:fill="1f3d6b"/>
          </w:tcPr>
          <w:p>
            <w:r/>
            <w:r>
              <w:rPr>
                <w:b/>
                <w:color w:val="FFFFFF"/>
                <w:sz w:val="19"/>
              </w:rPr>
              <w:t>King IV / principle</w:t>
            </w:r>
          </w:p>
        </w:tc>
      </w:tr>
      <w:tr>
        <w:tc>
          <w:tcPr>
            <w:tcW w:type="dxa" w:w="3024"/>
          </w:tcPr>
          <w:p>
            <w:r/>
            <w:r>
              <w:rPr>
                <w:sz w:val="19"/>
              </w:rPr>
              <w:t>Fairness — "reward for failure"</w:t>
            </w:r>
          </w:p>
        </w:tc>
        <w:tc>
          <w:tcPr>
            <w:tcW w:type="dxa" w:w="5040"/>
          </w:tcPr>
          <w:p>
            <w:r/>
            <w:r>
              <w:rPr>
                <w:sz w:val="19"/>
              </w:rPr>
              <w:t>Bonuses were PAUSED for all other staff, yet management stand to receive shares worth 3–5× salary while the company is loss-making and a going-concern risk. This looks inequitable and drove the AGM dissent.</w:t>
            </w:r>
          </w:p>
        </w:tc>
        <w:tc>
          <w:tcPr>
            <w:tcW w:type="dxa" w:w="3168"/>
          </w:tcPr>
          <w:p>
            <w:r/>
            <w:r>
              <w:rPr>
                <w:sz w:val="19"/>
              </w:rPr>
              <w:t>Fair, responsible &amp; transparent remuneration (King IV P14); fairness</w:t>
            </w:r>
          </w:p>
        </w:tc>
      </w:tr>
      <w:tr>
        <w:tc>
          <w:tcPr>
            <w:tcW w:type="dxa" w:w="3024"/>
          </w:tcPr>
          <w:p>
            <w:r/>
            <w:r>
              <w:rPr>
                <w:sz w:val="19"/>
              </w:rPr>
              <w:t>Conflict of interest / self-interest</w:t>
            </w:r>
          </w:p>
        </w:tc>
        <w:tc>
          <w:tcPr>
            <w:tcW w:type="dxa" w:w="5040"/>
          </w:tcPr>
          <w:p>
            <w:r/>
            <w:r>
              <w:rPr>
                <w:sz w:val="19"/>
              </w:rPr>
              <w:t>Management benefit from a scheme built on KPIs they can influence or manipulate (asset sales, inventory, "high-value %"). Rewards may not reflect real value created.</w:t>
            </w:r>
          </w:p>
        </w:tc>
        <w:tc>
          <w:tcPr>
            <w:tcW w:type="dxa" w:w="3168"/>
          </w:tcPr>
          <w:p>
            <w:r/>
            <w:r>
              <w:rPr>
                <w:sz w:val="19"/>
              </w:rPr>
              <w:t>Integrity; objectivity; P14</w:t>
            </w:r>
          </w:p>
        </w:tc>
      </w:tr>
      <w:tr>
        <w:tc>
          <w:tcPr>
            <w:tcW w:type="dxa" w:w="3024"/>
          </w:tcPr>
          <w:p>
            <w:r/>
            <w:r>
              <w:rPr>
                <w:sz w:val="19"/>
              </w:rPr>
              <w:t>Manipulation / integrity</w:t>
            </w:r>
          </w:p>
        </w:tc>
        <w:tc>
          <w:tcPr>
            <w:tcW w:type="dxa" w:w="5040"/>
          </w:tcPr>
          <w:p>
            <w:r/>
            <w:r>
              <w:rPr>
                <w:sz w:val="19"/>
              </w:rPr>
              <w:t>Several KPIs can be met by actions that harm long-term value (fire-sales, sterilising ore, deferring impairments) — an incentive to act against shareholders’ long-term interests.</w:t>
            </w:r>
          </w:p>
        </w:tc>
        <w:tc>
          <w:tcPr>
            <w:tcW w:type="dxa" w:w="3168"/>
          </w:tcPr>
          <w:p>
            <w:r/>
            <w:r>
              <w:rPr>
                <w:sz w:val="19"/>
              </w:rPr>
              <w:t>Integrity; responsible corporate citizen (P3)</w:t>
            </w:r>
          </w:p>
        </w:tc>
      </w:tr>
      <w:tr>
        <w:tc>
          <w:tcPr>
            <w:tcW w:type="dxa" w:w="3024"/>
          </w:tcPr>
          <w:p>
            <w:r/>
            <w:r>
              <w:rPr>
                <w:sz w:val="19"/>
              </w:rPr>
              <w:t>Sustainability / responsibility</w:t>
            </w:r>
          </w:p>
        </w:tc>
        <w:tc>
          <w:tcPr>
            <w:tcW w:type="dxa" w:w="5040"/>
          </w:tcPr>
          <w:p>
            <w:r/>
            <w:r>
              <w:rPr>
                <w:sz w:val="19"/>
              </w:rPr>
              <w:t>Cost and volume-type KPIs could push unsustainable mining (safety, tailings, rehabilitation) — real community &amp; environmental risk.</w:t>
            </w:r>
          </w:p>
        </w:tc>
        <w:tc>
          <w:tcPr>
            <w:tcW w:type="dxa" w:w="3168"/>
          </w:tcPr>
          <w:p>
            <w:r/>
            <w:r>
              <w:rPr>
                <w:sz w:val="19"/>
              </w:rPr>
              <w:t>Responsible corporate citizen (P3); sustainability</w:t>
            </w:r>
          </w:p>
        </w:tc>
      </w:tr>
      <w:tr>
        <w:tc>
          <w:tcPr>
            <w:tcW w:type="dxa" w:w="3024"/>
          </w:tcPr>
          <w:p>
            <w:r/>
            <w:r>
              <w:rPr>
                <w:sz w:val="19"/>
              </w:rPr>
              <w:t>Competence &amp; availability of the Remco chair</w:t>
            </w:r>
          </w:p>
        </w:tc>
        <w:tc>
          <w:tcPr>
            <w:tcW w:type="dxa" w:w="5040"/>
          </w:tcPr>
          <w:p>
            <w:r/>
            <w:r>
              <w:rPr>
                <w:sz w:val="19"/>
              </w:rPr>
              <w:t>Lavashni is newly appointed, did NOT attend the AGM, is confirming basic facts, shows limited understanding of the KPIs, and is on leave for a week — questions over competence, due care and time to discharge the role properly.</w:t>
            </w:r>
          </w:p>
        </w:tc>
        <w:tc>
          <w:tcPr>
            <w:tcW w:type="dxa" w:w="3168"/>
          </w:tcPr>
          <w:p>
            <w:r/>
            <w:r>
              <w:rPr>
                <w:sz w:val="19"/>
              </w:rPr>
              <w:t>Competence; diligence; effective committees (P8)</w:t>
            </w:r>
          </w:p>
        </w:tc>
      </w:tr>
      <w:tr>
        <w:tc>
          <w:tcPr>
            <w:tcW w:type="dxa" w:w="3024"/>
          </w:tcPr>
          <w:p>
            <w:r/>
            <w:r>
              <w:rPr>
                <w:sz w:val="19"/>
              </w:rPr>
              <w:t>Transparency &amp; governance process</w:t>
            </w:r>
          </w:p>
        </w:tc>
        <w:tc>
          <w:tcPr>
            <w:tcW w:type="dxa" w:w="5040"/>
          </w:tcPr>
          <w:p>
            <w:r/>
            <w:r>
              <w:rPr>
                <w:sz w:val="19"/>
              </w:rPr>
              <w:t>Need a clear remuneration policy, proper minutes, clear guidelines and shareholder (say-on-pay) approval — especially given the AGM dissent.</w:t>
            </w:r>
          </w:p>
        </w:tc>
        <w:tc>
          <w:tcPr>
            <w:tcW w:type="dxa" w:w="3168"/>
          </w:tcPr>
          <w:p>
            <w:r/>
            <w:r>
              <w:rPr>
                <w:sz w:val="19"/>
              </w:rPr>
              <w:t>Transparency; accountability; P14 &amp; P8</w:t>
            </w:r>
          </w:p>
        </w:tc>
      </w:tr>
      <w:tr>
        <w:tc>
          <w:tcPr>
            <w:tcW w:type="dxa" w:w="3024"/>
          </w:tcPr>
          <w:p>
            <w:r/>
            <w:r>
              <w:rPr>
                <w:sz w:val="19"/>
              </w:rPr>
              <w:t>Responsible use of resources / going concern</w:t>
            </w:r>
          </w:p>
        </w:tc>
        <w:tc>
          <w:tcPr>
            <w:tcW w:type="dxa" w:w="5040"/>
          </w:tcPr>
          <w:p>
            <w:r/>
            <w:r>
              <w:rPr>
                <w:sz w:val="19"/>
              </w:rPr>
              <w:t>Granting large equity incentives while solvency is fragile and shareholders are being asked to fund a rights issue raises a stakeholder-fairness and optics concern.</w:t>
            </w:r>
          </w:p>
        </w:tc>
        <w:tc>
          <w:tcPr>
            <w:tcW w:type="dxa" w:w="3168"/>
          </w:tcPr>
          <w:p>
            <w:r/>
            <w:r>
              <w:rPr>
                <w:sz w:val="19"/>
              </w:rPr>
              <w:t>Responsible leadership (P1); stakeholder-inclusive (P16)</w:t>
            </w:r>
          </w:p>
        </w:tc>
      </w:tr>
      <w:tr>
        <w:tc>
          <w:tcPr>
            <w:tcW w:type="dxa" w:w="3024"/>
          </w:tcPr>
          <w:p>
            <w:r/>
            <w:r>
              <w:rPr>
                <w:sz w:val="19"/>
              </w:rPr>
              <w:t>My own role (newly-qualified CA)</w:t>
            </w:r>
          </w:p>
        </w:tc>
        <w:tc>
          <w:tcPr>
            <w:tcW w:type="dxa" w:w="5040"/>
          </w:tcPr>
          <w:p>
            <w:r/>
            <w:r>
              <w:rPr>
                <w:sz w:val="19"/>
              </w:rPr>
              <w:t>Give balanced, objective advice; maintain competence, objectivity and confidentiality; do not simply endorse management’s scheme.</w:t>
            </w:r>
          </w:p>
        </w:tc>
        <w:tc>
          <w:tcPr>
            <w:tcW w:type="dxa" w:w="3168"/>
          </w:tcPr>
          <w:p>
            <w:r/>
            <w:r>
              <w:rPr>
                <w:sz w:val="19"/>
              </w:rPr>
              <w:t>Professional competence &amp; due care; objectivity</w:t>
            </w:r>
          </w:p>
        </w:tc>
      </w:tr>
    </w:tbl>
    <w:p>
      <w:pPr>
        <w:spacing w:before="200" w:after="60"/>
        <w:pBdr>
          <w:bottom w:val="single" w:sz="6" w:space="2" w:color="808080"/>
        </w:pBdr>
      </w:pPr>
      <w:r>
        <w:rPr>
          <w:b/>
          <w:color w:val="1F3D6B"/>
          <w:sz w:val="26"/>
        </w:rPr>
        <w:t>Quick accounting &amp; going-concern link (for completeness)</w:t>
      </w:r>
    </w:p>
    <w:p>
      <w:pPr>
        <w:pStyle w:val="ListBullet"/>
        <w:spacing w:after="40"/>
      </w:pPr>
      <w:r>
        <w:rPr>
          <w:sz w:val="19"/>
        </w:rPr>
        <w:t>IFRS 2 share-based payment: the shares are equity-settled but the number is set at the vesting date on the share price then — measurement and vesting-condition treatment need care; a possible "nil / low value" argument exists only if the probability of vesting is genuinely low.</w:t>
      </w:r>
    </w:p>
    <w:p>
      <w:pPr>
        <w:pStyle w:val="ListBullet"/>
        <w:spacing w:after="40"/>
      </w:pPr>
      <w:r>
        <w:rPr>
          <w:sz w:val="19"/>
        </w:rPr>
        <w:t>Everything ties back to GOING CONCERN: rewarding management heavily while liquidity is critical and the refinancing is unresolved is both a financial and an ethical judgement call.</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