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D6B"/>
          <w:sz w:val="28"/>
        </w:rPr>
        <w:t>PayGuard AI — Assurance AI Lab Solution Template</w:t>
      </w:r>
    </w:p>
    <w:p>
      <w:pPr>
        <w:spacing w:after="120"/>
      </w:pPr>
      <w:r>
        <w:rPr>
          <w:i/>
          <w:sz w:val="18"/>
        </w:rPr>
        <w:t>Summary of the Payroll Prompt (264 SWP agent), the PayGuard AI proposal and the 264 SWP demonstration, mapped to the standard consideration template.</w:t>
      </w:r>
    </w:p>
    <w:tbl>
      <w:tblPr>
        <w:tblStyle w:val="TableGrid"/>
        <w:tblW w:type="auto" w:w="0"/>
        <w:jc w:val="center"/>
        <w:tblLook w:firstColumn="1" w:firstRow="1" w:lastColumn="0" w:lastRow="0" w:noHBand="0" w:noVBand="1" w:val="04A0"/>
      </w:tblPr>
      <w:tblGrid>
        <w:gridCol w:w="5256"/>
        <w:gridCol w:w="5256"/>
      </w:tblGrid>
      <w:tr>
        <w:tc>
          <w:tcPr>
            <w:tcW w:type="dxa" w:w="5256"/>
            <w:shd w:val="clear" w:fill="1f3d6b"/>
          </w:tcPr>
          <w:p>
            <w:r/>
            <w:r>
              <w:rPr>
                <w:b/>
                <w:color w:val="FFFFFF"/>
                <w:sz w:val="20"/>
              </w:rPr>
              <w:t>Consideration</w:t>
            </w:r>
          </w:p>
        </w:tc>
        <w:tc>
          <w:tcPr>
            <w:tcW w:type="dxa" w:w="5256"/>
            <w:shd w:val="clear" w:fill="1f3d6b"/>
          </w:tcPr>
          <w:p>
            <w:r/>
            <w:r>
              <w:rPr>
                <w:b/>
                <w:color w:val="FFFFFF"/>
                <w:sz w:val="20"/>
              </w:rPr>
              <w:t>Summary</w:t>
            </w:r>
          </w:p>
        </w:tc>
      </w:tr>
      <w:tr>
        <w:tc>
          <w:tcPr>
            <w:tcW w:type="dxa" w:w="3384"/>
          </w:tcPr>
          <w:p>
            <w:pPr>
              <w:spacing w:after="40"/>
            </w:pPr>
            <w:r/>
            <w:r>
              <w:rPr>
                <w:b/>
                <w:color w:val="1F3D6B"/>
                <w:sz w:val="19"/>
              </w:rPr>
              <w:t>AI Solution Name</w:t>
            </w:r>
          </w:p>
          <w:p>
            <w:r>
              <w:rPr>
                <w:i/>
                <w:color w:val="555555"/>
                <w:sz w:val="16"/>
              </w:rPr>
              <w:t>Helps describe the concept / purpose</w:t>
            </w:r>
          </w:p>
        </w:tc>
        <w:tc>
          <w:tcPr>
            <w:tcW w:type="dxa" w:w="7200"/>
          </w:tcPr>
          <w:p>
            <w:r/>
            <w:r>
              <w:rPr>
                <w:sz w:val="19"/>
              </w:rPr>
              <w:t>PayGuard AI — Payroll Exception, Reconciliation and Analytical Review Assistant.</w:t>
            </w:r>
          </w:p>
        </w:tc>
      </w:tr>
      <w:tr>
        <w:tc>
          <w:tcPr>
            <w:tcW w:type="dxa" w:w="3384"/>
          </w:tcPr>
          <w:p>
            <w:pPr>
              <w:spacing w:after="40"/>
            </w:pPr>
            <w:r/>
            <w:r>
              <w:rPr>
                <w:b/>
                <w:color w:val="1F3D6B"/>
                <w:sz w:val="19"/>
              </w:rPr>
              <w:t>Account and Assertion OR General execution task</w:t>
            </w:r>
          </w:p>
          <w:p>
            <w:r>
              <w:rPr>
                <w:i/>
                <w:color w:val="555555"/>
                <w:sz w:val="16"/>
              </w:rPr>
              <w:t>Include the account and assertion or the general execution task your solution supports</w:t>
            </w:r>
          </w:p>
        </w:tc>
        <w:tc>
          <w:tcPr>
            <w:tcW w:type="dxa" w:w="7200"/>
          </w:tcPr>
          <w:p>
            <w:r/>
            <w:r>
              <w:rPr>
                <w:sz w:val="19"/>
              </w:rPr>
              <w:t>Account: payroll expense and payroll-related liabilities. Primary assertions: occurrence and accuracy. Supporting assertions: completeness, cut-off and classification. It supports the 264 substantive analytical procedure (SWP) and substantive exception/reconciliation testing over payroll.</w:t>
            </w:r>
          </w:p>
        </w:tc>
      </w:tr>
      <w:tr>
        <w:tc>
          <w:tcPr>
            <w:tcW w:type="dxa" w:w="3384"/>
          </w:tcPr>
          <w:p>
            <w:pPr>
              <w:spacing w:after="40"/>
            </w:pPr>
            <w:r/>
            <w:r>
              <w:rPr>
                <w:b/>
                <w:color w:val="1F3D6B"/>
                <w:sz w:val="19"/>
              </w:rPr>
              <w:t>Purpose</w:t>
            </w:r>
          </w:p>
          <w:p>
            <w:r>
              <w:rPr>
                <w:i/>
                <w:color w:val="555555"/>
                <w:sz w:val="16"/>
              </w:rPr>
              <w:t>Our AI solution supports…</w:t>
            </w:r>
          </w:p>
        </w:tc>
        <w:tc>
          <w:tcPr>
            <w:tcW w:type="dxa" w:w="7200"/>
          </w:tcPr>
          <w:p>
            <w:r/>
            <w:r>
              <w:rPr>
                <w:sz w:val="19"/>
              </w:rPr>
              <w:t>Our AI solution supports the audit team to build an independent expectation for payroll expense, assess its precision and recommend an investigation threshold, and to identify, reconcile and explain payroll exceptions requiring auditor investigation — while preserving professional scepticism and human judgement.</w:t>
            </w:r>
          </w:p>
        </w:tc>
      </w:tr>
      <w:tr>
        <w:tc>
          <w:tcPr>
            <w:tcW w:type="dxa" w:w="3384"/>
          </w:tcPr>
          <w:p>
            <w:pPr>
              <w:spacing w:after="40"/>
            </w:pPr>
            <w:r/>
            <w:r>
              <w:rPr>
                <w:b/>
                <w:color w:val="1F3D6B"/>
                <w:sz w:val="19"/>
              </w:rPr>
              <w:t>Main problem to solve</w:t>
            </w:r>
          </w:p>
          <w:p>
            <w:r>
              <w:rPr>
                <w:i/>
                <w:color w:val="555555"/>
                <w:sz w:val="16"/>
              </w:rPr>
              <w:t>What specific audit challenge are you solving? What does your solution do? What audit procedure does it support?</w:t>
            </w:r>
          </w:p>
        </w:tc>
        <w:tc>
          <w:tcPr>
            <w:tcW w:type="dxa" w:w="7200"/>
          </w:tcPr>
          <w:p>
            <w:r/>
            <w:r>
              <w:rPr>
                <w:sz w:val="19"/>
              </w:rPr>
              <w:t>Payroll is high-volume and rules-based, with connected HR, payroll, banking and ledger data that is hard to review consistently across the whole population. PayGuard AI analyses the full population, develops a payroll expectation, reconciles source totals and highlights unusual combinations, inconsistencies and reconciliation differences. It supports the 264 SWP substantive analytical procedure and substantive testing of payroll.</w:t>
            </w:r>
          </w:p>
        </w:tc>
      </w:tr>
      <w:tr>
        <w:tc>
          <w:tcPr>
            <w:tcW w:type="dxa" w:w="3384"/>
          </w:tcPr>
          <w:p>
            <w:pPr>
              <w:spacing w:after="40"/>
            </w:pPr>
            <w:r/>
            <w:r>
              <w:rPr>
                <w:b/>
                <w:color w:val="1F3D6B"/>
                <w:sz w:val="19"/>
              </w:rPr>
              <w:t>Intended user/s</w:t>
            </w:r>
          </w:p>
          <w:p>
            <w:r>
              <w:rPr>
                <w:i/>
                <w:color w:val="555555"/>
                <w:sz w:val="16"/>
              </w:rPr>
              <w:t>The AI solution will be used by…</w:t>
            </w:r>
          </w:p>
        </w:tc>
        <w:tc>
          <w:tcPr>
            <w:tcW w:type="dxa" w:w="7200"/>
          </w:tcPr>
          <w:p>
            <w:r/>
            <w:r>
              <w:rPr>
                <w:sz w:val="19"/>
              </w:rPr>
              <w:t>Audit team members performing payroll walkthroughs, risk assessment, data analysis, substantive analytical procedures, substantive testing and tests of controls.</w:t>
            </w:r>
          </w:p>
        </w:tc>
      </w:tr>
      <w:tr>
        <w:tc>
          <w:tcPr>
            <w:tcW w:type="dxa" w:w="3384"/>
          </w:tcPr>
          <w:p>
            <w:pPr>
              <w:spacing w:after="40"/>
            </w:pPr>
            <w:r/>
            <w:r>
              <w:rPr>
                <w:b/>
                <w:color w:val="1F3D6B"/>
                <w:sz w:val="19"/>
              </w:rPr>
              <w:t>Inputs (Prompt or Agent Instructions &amp; Knowledge Sources)</w:t>
            </w:r>
          </w:p>
          <w:p>
            <w:r>
              <w:rPr>
                <w:i/>
                <w:color w:val="555555"/>
                <w:sz w:val="16"/>
              </w:rPr>
              <w:t>The user will input the following…</w:t>
            </w:r>
          </w:p>
        </w:tc>
        <w:tc>
          <w:tcPr>
            <w:tcW w:type="dxa" w:w="7200"/>
          </w:tcPr>
          <w:p>
            <w:r/>
            <w:r>
              <w:rPr>
                <w:sz w:val="19"/>
              </w:rPr>
              <w:t>Data: payroll register, employee master file, termination listing, general-ledger extract, bank-payment summary, HR/headcount reports; plus prior and current-year payroll and headcount, salary-increase %, overtime and bonus trends, budget and planning materiality/threshold. Instructions: agent scoped to ISA 230, 315, 330 and 500, IPE/IUC guidance and professional scepticism; extract only from supplied evidence. (The live demo uses approved fictional data only.)</w:t>
            </w:r>
          </w:p>
        </w:tc>
      </w:tr>
      <w:tr>
        <w:tc>
          <w:tcPr>
            <w:tcW w:type="dxa" w:w="3384"/>
          </w:tcPr>
          <w:p>
            <w:pPr>
              <w:spacing w:after="40"/>
            </w:pPr>
            <w:r/>
            <w:r>
              <w:rPr>
                <w:b/>
                <w:color w:val="1F3D6B"/>
                <w:sz w:val="19"/>
              </w:rPr>
              <w:t>Use cases</w:t>
            </w:r>
          </w:p>
          <w:p>
            <w:r>
              <w:rPr>
                <w:i/>
                <w:color w:val="555555"/>
                <w:sz w:val="16"/>
              </w:rPr>
              <w:t>How would the audit team use the AI solution in practice?</w:t>
            </w:r>
          </w:p>
        </w:tc>
        <w:tc>
          <w:tcPr>
            <w:tcW w:type="dxa" w:w="7200"/>
          </w:tcPr>
          <w:p>
            <w:r/>
            <w:r>
              <w:rPr>
                <w:sz w:val="19"/>
              </w:rPr>
              <w:t>Duplicate bank-account and identity/employee-number analysis; terminated-employee and pre-start-date payment testing; net-pay recalculation; salary, overtime and bonus movement analysis; payroll-to-GL and bank reconciliation; cut-off and off-cycle/manual payment review; and developing the 264 SWP expectation with a recommended investigation threshold.</w:t>
            </w:r>
          </w:p>
        </w:tc>
      </w:tr>
      <w:tr>
        <w:tc>
          <w:tcPr>
            <w:tcW w:type="dxa" w:w="3384"/>
          </w:tcPr>
          <w:p>
            <w:pPr>
              <w:spacing w:after="40"/>
            </w:pPr>
            <w:r/>
            <w:r>
              <w:rPr>
                <w:b/>
                <w:color w:val="1F3D6B"/>
                <w:sz w:val="19"/>
              </w:rPr>
              <w:t>Audit quality benefits</w:t>
            </w:r>
          </w:p>
          <w:p>
            <w:r>
              <w:rPr>
                <w:i/>
                <w:color w:val="555555"/>
                <w:sz w:val="16"/>
              </w:rPr>
              <w:t>This AI solution will enhance audit quality by…</w:t>
            </w:r>
          </w:p>
        </w:tc>
        <w:tc>
          <w:tcPr>
            <w:tcW w:type="dxa" w:w="7200"/>
          </w:tcPr>
          <w:p>
            <w:r/>
            <w:r>
              <w:rPr>
                <w:sz w:val="19"/>
              </w:rPr>
              <w:t>Consistent analysis of the complete population; transparent, evidence-based reasons for each exception; clear linkage between exceptions, assertions and procedures; an independent expectation with a precision assessment; and full traceability from evidence to investigation and conclusion.</w:t>
            </w:r>
          </w:p>
        </w:tc>
      </w:tr>
      <w:tr>
        <w:tc>
          <w:tcPr>
            <w:tcW w:type="dxa" w:w="3384"/>
          </w:tcPr>
          <w:p>
            <w:pPr>
              <w:spacing w:after="40"/>
            </w:pPr>
            <w:r/>
            <w:r>
              <w:rPr>
                <w:b/>
                <w:color w:val="1F3D6B"/>
                <w:sz w:val="19"/>
              </w:rPr>
              <w:t>Efficiency benefits</w:t>
            </w:r>
          </w:p>
          <w:p>
            <w:r>
              <w:rPr>
                <w:i/>
                <w:color w:val="555555"/>
                <w:sz w:val="16"/>
              </w:rPr>
              <w:t>This AI solution will enhance audit efficiency by…</w:t>
            </w:r>
          </w:p>
        </w:tc>
        <w:tc>
          <w:tcPr>
            <w:tcW w:type="dxa" w:w="7200"/>
          </w:tcPr>
          <w:p>
            <w:r/>
            <w:r>
              <w:rPr>
                <w:sz w:val="19"/>
              </w:rPr>
              <w:t>Reducing manual scanning of large listings; prioritising higher-risk exceptions; producing a structured exception report and workpaper-ready 264 SWP documentation; and enabling faster comparison across payroll, HR, bank and ledger data.</w:t>
            </w:r>
          </w:p>
        </w:tc>
      </w:tr>
      <w:tr>
        <w:tc>
          <w:tcPr>
            <w:tcW w:type="dxa" w:w="3384"/>
          </w:tcPr>
          <w:p>
            <w:pPr>
              <w:spacing w:after="40"/>
            </w:pPr>
            <w:r/>
            <w:r>
              <w:rPr>
                <w:b/>
                <w:color w:val="1F3D6B"/>
                <w:sz w:val="19"/>
              </w:rPr>
              <w:t>Professional skepticism guardrails</w:t>
            </w:r>
          </w:p>
          <w:p>
            <w:r>
              <w:rPr>
                <w:i/>
                <w:color w:val="555555"/>
                <w:sz w:val="16"/>
              </w:rPr>
              <w:t>The following guardrails are in place… The human kept in the loop by…</w:t>
            </w:r>
          </w:p>
        </w:tc>
        <w:tc>
          <w:tcPr>
            <w:tcW w:type="dxa" w:w="7200"/>
          </w:tcPr>
          <w:p>
            <w:r/>
            <w:r>
              <w:rPr>
                <w:sz w:val="19"/>
              </w:rPr>
              <w:t>Guardrails: the agent never infers, estimates, fabricates or fills missing data, never modifies source records, and never determines materiality, fraud, misstatement or an audit opinion; it separates facts, calculations and assumptions and flags gaps, conflicts and insufficient evidence. Human in the loop: every exception and output requires engagement-team review — the auditor inspects source documentation, independently reperforms calculations, corroborates explanations and records the final conclusion.</w:t>
            </w:r>
          </w:p>
        </w:tc>
      </w:tr>
      <w:tr>
        <w:tc>
          <w:tcPr>
            <w:tcW w:type="dxa" w:w="3384"/>
          </w:tcPr>
          <w:p>
            <w:pPr>
              <w:spacing w:after="40"/>
            </w:pPr>
            <w:r/>
            <w:r>
              <w:rPr>
                <w:b/>
                <w:color w:val="1F3D6B"/>
                <w:sz w:val="19"/>
              </w:rPr>
              <w:t>Demonstration</w:t>
            </w:r>
          </w:p>
          <w:p>
            <w:r>
              <w:rPr>
                <w:i/>
                <w:color w:val="555555"/>
                <w:sz w:val="16"/>
              </w:rPr>
              <w:t>We will bring one use case to life and show…</w:t>
            </w:r>
          </w:p>
        </w:tc>
        <w:tc>
          <w:tcPr>
            <w:tcW w:type="dxa" w:w="7200"/>
          </w:tcPr>
          <w:p>
            <w:r/>
            <w:r>
              <w:rPr>
                <w:sz w:val="19"/>
              </w:rPr>
              <w:t>Using an approved, presenter-prepared fictional payroll population (~40 employees over three months with embedded exceptions), run the prompt to assess data quality, recalculate net pay, reconcile totals and present a prioritised exception report, then demonstrate human validation (trace back to source, reperform a calculation, decide follow-up). The 264 SWP demo builds a payroll expectation, flags low precision (headcount grew 185→719), and shows AI correctly refusing to accept the R2m monthly threshold until the expectation is refined.</w:t>
            </w:r>
          </w:p>
        </w:tc>
      </w:tr>
    </w:tbl>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