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D6B"/>
          <w:sz w:val="27"/>
        </w:rPr>
        <w:t>Diamante Ltd — Pros and Cons of RI, EVA and FCF as an Incentive-Scheme KPI</w:t>
      </w:r>
    </w:p>
    <w:p>
      <w:pPr>
        <w:spacing w:after="80"/>
      </w:pPr>
      <w:r>
        <w:rPr>
          <w:i/>
          <w:sz w:val="18"/>
        </w:rPr>
        <w:t>Each point is stated, then explained in full, and then linked to Diamante’s position, so it can be used directly in an APC answer. The bold bullet is the point; the bullets under it explain it.</w:t>
      </w:r>
    </w:p>
    <w:p>
      <w:pPr>
        <w:spacing w:before="220" w:after="60"/>
        <w:shd w:val="clear" w:fill="1f5b3a"/>
      </w:pPr>
      <w:r>
        <w:rPr>
          <w:b/>
          <w:color w:val="FFFFFF"/>
          <w:sz w:val="25"/>
        </w:rPr>
        <w:t>1 · Residual Income (RI) as a KPI</w:t>
      </w:r>
    </w:p>
    <w:p>
      <w:pPr>
        <w:spacing w:after="80"/>
      </w:pPr>
      <w:r>
        <w:rPr>
          <w:i/>
          <w:sz w:val="19"/>
        </w:rPr>
        <w:t>Reminder of the measure: RI = NOPAT − (WACC × net investment). It is the rand profit a manager earns after being charged for the capital they use.</w:t>
      </w:r>
    </w:p>
    <w:p>
      <w:pPr>
        <w:spacing w:before="140" w:after="40"/>
      </w:pPr>
      <w:r>
        <w:rPr>
          <w:b/>
          <w:color w:val="12602F"/>
          <w:sz w:val="22"/>
        </w:rPr>
        <w:t>Pros of using RI</w:t>
      </w:r>
    </w:p>
    <w:p>
      <w:pPr>
        <w:pStyle w:val="ListBullet"/>
        <w:spacing w:before="80" w:after="20"/>
      </w:pPr>
      <w:r>
        <w:rPr>
          <w:b/>
          <w:sz w:val="20"/>
        </w:rPr>
        <w:t>It rewards value created above the cost of the capital used, not just profit.</w:t>
      </w:r>
    </w:p>
    <w:p>
      <w:pPr>
        <w:pStyle w:val="ListBullet2"/>
        <w:spacing w:after="20"/>
      </w:pPr>
      <w:r>
        <w:rPr>
          <w:sz w:val="20"/>
        </w:rPr>
        <w:t>A manager is only rewarded once they have earned more than the cost of the money tied up in their mine.</w:t>
      </w:r>
    </w:p>
    <w:p>
      <w:pPr>
        <w:pStyle w:val="ListBullet2"/>
        <w:spacing w:after="20"/>
      </w:pPr>
      <w:r>
        <w:rPr>
          <w:sz w:val="20"/>
        </w:rPr>
        <w:t>This is better than a plain profit target, because profit ignores how much capital was needed to earn it.</w:t>
      </w:r>
    </w:p>
    <w:p>
      <w:pPr>
        <w:pStyle w:val="ListBullet2"/>
        <w:spacing w:after="20"/>
      </w:pPr>
      <w:r>
        <w:rPr>
          <w:sz w:val="20"/>
        </w:rPr>
        <w:t>For Diamante this pushes managers to use the mine’s assets efficiently rather than simply chase output.</w:t>
      </w:r>
    </w:p>
    <w:p>
      <w:pPr>
        <w:pStyle w:val="ListBullet"/>
        <w:spacing w:before="80" w:after="20"/>
      </w:pPr>
      <w:r>
        <w:rPr>
          <w:b/>
          <w:sz w:val="20"/>
        </w:rPr>
        <w:t>It removes the main weakness of a percentage return such as ROI.</w:t>
      </w:r>
    </w:p>
    <w:p>
      <w:pPr>
        <w:pStyle w:val="ListBullet2"/>
        <w:spacing w:after="20"/>
      </w:pPr>
      <w:r>
        <w:rPr>
          <w:sz w:val="20"/>
        </w:rPr>
        <w:t>Under a percentage measure, a manager running at a high return will reject a new project that earns slightly less, because it drags their average down.</w:t>
      </w:r>
    </w:p>
    <w:p>
      <w:pPr>
        <w:pStyle w:val="ListBullet2"/>
        <w:spacing w:after="20"/>
      </w:pPr>
      <w:r>
        <w:rPr>
          <w:sz w:val="20"/>
        </w:rPr>
        <w:t>RI instead accepts any project that earns more than the capital charge, so good projects are not turned away.</w:t>
      </w:r>
    </w:p>
    <w:p>
      <w:pPr>
        <w:pStyle w:val="ListBullet2"/>
        <w:spacing w:after="20"/>
      </w:pPr>
      <w:r>
        <w:rPr>
          <w:sz w:val="20"/>
        </w:rPr>
        <w:t>This matters for Diamante because the company cannot afford managers to reject value-adding projects just to protect a ratio.</w:t>
      </w:r>
    </w:p>
    <w:p>
      <w:pPr>
        <w:pStyle w:val="ListBullet"/>
        <w:spacing w:before="80" w:after="20"/>
      </w:pPr>
      <w:r>
        <w:rPr>
          <w:b/>
          <w:sz w:val="20"/>
        </w:rPr>
        <w:t>A negative RI is a clear and honest signal that value is being destroyed.</w:t>
      </w:r>
    </w:p>
    <w:p>
      <w:pPr>
        <w:pStyle w:val="ListBullet2"/>
        <w:spacing w:after="20"/>
      </w:pPr>
      <w:r>
        <w:rPr>
          <w:sz w:val="20"/>
        </w:rPr>
        <w:t>When RI is negative the manager has not even covered the cost of the capital, so no bonus is justified.</w:t>
      </w:r>
    </w:p>
    <w:p>
      <w:pPr>
        <w:pStyle w:val="ListBullet2"/>
        <w:spacing w:after="20"/>
      </w:pPr>
      <w:r>
        <w:rPr>
          <w:sz w:val="20"/>
        </w:rPr>
        <w:t>Diamante’s group RI is roughly negative R1.5 billion, which openly supports the board’s decision to pause bonuses.</w:t>
      </w:r>
    </w:p>
    <w:p>
      <w:pPr>
        <w:pStyle w:val="ListBullet"/>
        <w:spacing w:before="80" w:after="20"/>
      </w:pPr>
      <w:r>
        <w:rPr>
          <w:b/>
          <w:sz w:val="20"/>
        </w:rPr>
        <w:t>It can be applied to each mine separately.</w:t>
      </w:r>
    </w:p>
    <w:p>
      <w:pPr>
        <w:pStyle w:val="ListBullet2"/>
        <w:spacing w:after="20"/>
      </w:pPr>
      <w:r>
        <w:rPr>
          <w:sz w:val="20"/>
        </w:rPr>
        <w:t>Each of Diamante’s two mines is already a separate cash-generating unit with its own assets and results.</w:t>
      </w:r>
    </w:p>
    <w:p>
      <w:pPr>
        <w:pStyle w:val="ListBullet2"/>
        <w:spacing w:after="20"/>
      </w:pPr>
      <w:r>
        <w:rPr>
          <w:sz w:val="20"/>
        </w:rPr>
        <w:t>This means a per-mine RI can be calculated from information the company already prepares, without building new systems.</w:t>
      </w:r>
    </w:p>
    <w:p>
      <w:pPr>
        <w:spacing w:before="140" w:after="40"/>
      </w:pPr>
      <w:r>
        <w:rPr>
          <w:b/>
          <w:color w:val="8A2020"/>
          <w:sz w:val="22"/>
        </w:rPr>
        <w:t>Cons of using RI</w:t>
      </w:r>
    </w:p>
    <w:p>
      <w:pPr>
        <w:pStyle w:val="ListBullet"/>
        <w:spacing w:before="80" w:after="20"/>
      </w:pPr>
      <w:r>
        <w:rPr>
          <w:b/>
          <w:sz w:val="20"/>
        </w:rPr>
        <w:t>It is an absolute rand figure, so it is hard to compare units of different sizes.</w:t>
      </w:r>
    </w:p>
    <w:p>
      <w:pPr>
        <w:pStyle w:val="ListBullet2"/>
        <w:spacing w:after="20"/>
      </w:pPr>
      <w:r>
        <w:rPr>
          <w:sz w:val="20"/>
        </w:rPr>
        <w:t>A larger mine will naturally produce a bigger RI simply because it is bigger, not because it is better run.</w:t>
      </w:r>
    </w:p>
    <w:p>
      <w:pPr>
        <w:pStyle w:val="ListBullet2"/>
        <w:spacing w:after="20"/>
      </w:pPr>
      <w:r>
        <w:rPr>
          <w:sz w:val="20"/>
        </w:rPr>
        <w:t>Diamante’s Mine 1 and Mine 2 are different sizes, so a straight RI comparison could reward size rather than skill.</w:t>
      </w:r>
    </w:p>
    <w:p>
      <w:pPr>
        <w:pStyle w:val="ListBullet"/>
        <w:spacing w:before="80" w:after="20"/>
      </w:pPr>
      <w:r>
        <w:rPr>
          <w:b/>
          <w:sz w:val="20"/>
        </w:rPr>
        <w:t>It still relies on accounting profit, which can be distorted.</w:t>
      </w:r>
    </w:p>
    <w:p>
      <w:pPr>
        <w:pStyle w:val="ListBullet2"/>
        <w:spacing w:after="20"/>
      </w:pPr>
      <w:r>
        <w:rPr>
          <w:sz w:val="20"/>
        </w:rPr>
        <w:t>RI starts from NOPAT, which is an accounting number and can be affected by one-off items.</w:t>
      </w:r>
    </w:p>
    <w:p>
      <w:pPr>
        <w:pStyle w:val="ListBullet2"/>
        <w:spacing w:after="20"/>
      </w:pPr>
      <w:r>
        <w:rPr>
          <w:sz w:val="20"/>
        </w:rPr>
        <w:t>Diamante’s result this year includes a R963 million impairment and a R405 million profit on the Botswana disposal, both of which would badly distort RI if not removed.</w:t>
      </w:r>
    </w:p>
    <w:p>
      <w:pPr>
        <w:pStyle w:val="ListBullet2"/>
        <w:spacing w:after="20"/>
      </w:pPr>
      <w:r>
        <w:rPr>
          <w:sz w:val="20"/>
        </w:rPr>
        <w:t>These one-offs must be normalised out before RI is used, otherwise a manager is rewarded or punished for events they did not control.</w:t>
      </w:r>
    </w:p>
    <w:p>
      <w:pPr>
        <w:pStyle w:val="ListBullet"/>
        <w:spacing w:before="80" w:after="20"/>
      </w:pPr>
      <w:r>
        <w:rPr>
          <w:b/>
          <w:sz w:val="20"/>
        </w:rPr>
        <w:t>It depends on a cost of capital that is hard to pin down right now.</w:t>
      </w:r>
    </w:p>
    <w:p>
      <w:pPr>
        <w:pStyle w:val="ListBullet2"/>
        <w:spacing w:after="20"/>
      </w:pPr>
      <w:r>
        <w:rPr>
          <w:sz w:val="20"/>
        </w:rPr>
        <w:t>RI needs a WACC to calculate the capital charge, and that rate depends on the company’s mix of debt and equity.</w:t>
      </w:r>
    </w:p>
    <w:p>
      <w:pPr>
        <w:pStyle w:val="ListBullet2"/>
        <w:spacing w:after="20"/>
      </w:pPr>
      <w:r>
        <w:rPr>
          <w:sz w:val="20"/>
        </w:rPr>
        <w:t>Diamante’s refinancing is unresolved, so its capital structure and therefore its WACC are uncertain, which makes the charge arguable.</w:t>
      </w:r>
    </w:p>
    <w:p>
      <w:pPr>
        <w:pStyle w:val="ListBullet"/>
        <w:spacing w:before="80" w:after="20"/>
      </w:pPr>
      <w:r>
        <w:rPr>
          <w:b/>
          <w:sz w:val="20"/>
        </w:rPr>
        <w:t>It can be manipulated through the investment base.</w:t>
      </w:r>
    </w:p>
    <w:p>
      <w:pPr>
        <w:pStyle w:val="ListBullet2"/>
        <w:spacing w:after="20"/>
      </w:pPr>
      <w:r>
        <w:rPr>
          <w:sz w:val="20"/>
        </w:rPr>
        <w:t>Because the charge is based on net investment, a manager can lower the charge by delaying capital spending or by not replacing assets.</w:t>
      </w:r>
    </w:p>
    <w:p>
      <w:pPr>
        <w:pStyle w:val="ListBullet2"/>
        <w:spacing w:after="20"/>
      </w:pPr>
      <w:r>
        <w:rPr>
          <w:sz w:val="20"/>
        </w:rPr>
        <w:t>In deep-level mining this is dangerous, because deferring essential capital spend can create safety and production problems later.</w:t>
      </w:r>
    </w:p>
    <w:p>
      <w:pPr>
        <w:spacing w:before="220" w:after="60"/>
        <w:shd w:val="clear" w:fill="1f3d6b"/>
      </w:pPr>
      <w:r>
        <w:rPr>
          <w:b/>
          <w:color w:val="FFFFFF"/>
          <w:sz w:val="25"/>
        </w:rPr>
        <w:t>2 · Economic Value Added (EVA) as a KPI</w:t>
      </w:r>
    </w:p>
    <w:p>
      <w:pPr>
        <w:spacing w:after="80"/>
      </w:pPr>
      <w:r>
        <w:rPr>
          <w:i/>
          <w:sz w:val="19"/>
        </w:rPr>
        <w:t>Reminder of the measure: EVA = (NOPAT ± adjustments) − WACC × (net investment ± adjustments). It is RI with extra adjustments to make the numbers reflect economic reality rather than accounting rules.</w:t>
      </w:r>
    </w:p>
    <w:p>
      <w:pPr>
        <w:spacing w:before="140" w:after="40"/>
      </w:pPr>
      <w:r>
        <w:rPr>
          <w:b/>
          <w:color w:val="12602F"/>
          <w:sz w:val="22"/>
        </w:rPr>
        <w:t>Pros of using EVA</w:t>
      </w:r>
    </w:p>
    <w:p>
      <w:pPr>
        <w:pStyle w:val="ListBullet"/>
        <w:spacing w:before="80" w:after="20"/>
      </w:pPr>
      <w:r>
        <w:rPr>
          <w:b/>
          <w:sz w:val="20"/>
        </w:rPr>
        <w:t>It is designed specifically to measure the value added for shareholders.</w:t>
      </w:r>
    </w:p>
    <w:p>
      <w:pPr>
        <w:pStyle w:val="ListBullet2"/>
        <w:spacing w:after="20"/>
      </w:pPr>
      <w:r>
        <w:rPr>
          <w:sz w:val="20"/>
        </w:rPr>
        <w:t>EVA was built to line managers up directly with the owners of the business.</w:t>
      </w:r>
    </w:p>
    <w:p>
      <w:pPr>
        <w:pStyle w:val="ListBullet2"/>
        <w:spacing w:after="20"/>
      </w:pPr>
      <w:r>
        <w:rPr>
          <w:sz w:val="20"/>
        </w:rPr>
        <w:t>For Diamante’s new long-term scheme this is exactly the aim, because the shareholders need value rebuilt after heavy losses.</w:t>
      </w:r>
    </w:p>
    <w:p>
      <w:pPr>
        <w:pStyle w:val="ListBullet"/>
        <w:spacing w:before="80" w:after="20"/>
      </w:pPr>
      <w:r>
        <w:rPr>
          <w:b/>
          <w:sz w:val="20"/>
        </w:rPr>
        <w:t>Its adjustments strip out accounting distortions and give a truer picture.</w:t>
      </w:r>
    </w:p>
    <w:p>
      <w:pPr>
        <w:pStyle w:val="ListBullet2"/>
        <w:spacing w:after="20"/>
      </w:pPr>
      <w:r>
        <w:rPr>
          <w:sz w:val="20"/>
        </w:rPr>
        <w:t>EVA lets you add back items that are accounting rather than economic, such as the impairment, and capitalise things like equipment leases.</w:t>
      </w:r>
    </w:p>
    <w:p>
      <w:pPr>
        <w:pStyle w:val="ListBullet2"/>
        <w:spacing w:after="20"/>
      </w:pPr>
      <w:r>
        <w:rPr>
          <w:sz w:val="20"/>
        </w:rPr>
        <w:t>Adding back Diamante’s R963 million impairment shows the underlying economic performance rather than a number dominated by a one-off write-down.</w:t>
      </w:r>
    </w:p>
    <w:p>
      <w:pPr>
        <w:pStyle w:val="ListBullet"/>
        <w:spacing w:before="80" w:after="20"/>
      </w:pPr>
      <w:r>
        <w:rPr>
          <w:b/>
          <w:sz w:val="20"/>
        </w:rPr>
        <w:t>The adjustments discourage short-term decisions that damage the business.</w:t>
      </w:r>
    </w:p>
    <w:p>
      <w:pPr>
        <w:pStyle w:val="ListBullet2"/>
        <w:spacing w:after="20"/>
      </w:pPr>
      <w:r>
        <w:rPr>
          <w:sz w:val="20"/>
        </w:rPr>
        <w:t>Because spending with a lasting benefit is capitalised rather than expensed at once, a manager is not punished for investing.</w:t>
      </w:r>
    </w:p>
    <w:p>
      <w:pPr>
        <w:pStyle w:val="ListBullet2"/>
        <w:spacing w:after="20"/>
      </w:pPr>
      <w:r>
        <w:rPr>
          <w:sz w:val="20"/>
        </w:rPr>
        <w:t>This stops a Diamante manager from cutting essential mine development or maintenance just to make this year’s figure look better.</w:t>
      </w:r>
    </w:p>
    <w:p>
      <w:pPr>
        <w:pStyle w:val="ListBullet"/>
        <w:spacing w:before="80" w:after="20"/>
      </w:pPr>
      <w:r>
        <w:rPr>
          <w:b/>
          <w:sz w:val="20"/>
        </w:rPr>
        <w:t>A bonus bank can be attached to it.</w:t>
      </w:r>
    </w:p>
    <w:p>
      <w:pPr>
        <w:pStyle w:val="ListBullet2"/>
        <w:spacing w:after="20"/>
      </w:pPr>
      <w:r>
        <w:rPr>
          <w:sz w:val="20"/>
        </w:rPr>
        <w:t>Part of the EVA bonus is held back in a “bank” and is forfeited in years when EVA is negative.</w:t>
      </w:r>
    </w:p>
    <w:p>
      <w:pPr>
        <w:pStyle w:val="ListBullet2"/>
        <w:spacing w:after="20"/>
      </w:pPr>
      <w:r>
        <w:rPr>
          <w:sz w:val="20"/>
        </w:rPr>
        <w:t>This fits Diamante perfectly, because bonuses are already paused, and the bank ensures rewards are only released once real value returns.</w:t>
      </w:r>
    </w:p>
    <w:p>
      <w:pPr>
        <w:spacing w:before="140" w:after="40"/>
      </w:pPr>
      <w:r>
        <w:rPr>
          <w:b/>
          <w:color w:val="8A2020"/>
          <w:sz w:val="22"/>
        </w:rPr>
        <w:t>Cons of using EVA</w:t>
      </w:r>
    </w:p>
    <w:p>
      <w:pPr>
        <w:pStyle w:val="ListBullet"/>
        <w:spacing w:before="80" w:after="20"/>
      </w:pPr>
      <w:r>
        <w:rPr>
          <w:b/>
          <w:sz w:val="20"/>
        </w:rPr>
        <w:t>The adjustments are complex and require judgement.</w:t>
      </w:r>
    </w:p>
    <w:p>
      <w:pPr>
        <w:pStyle w:val="ListBullet2"/>
        <w:spacing w:after="20"/>
      </w:pPr>
      <w:r>
        <w:rPr>
          <w:sz w:val="20"/>
        </w:rPr>
        <w:t>Deciding what to capitalise, over how long, and which provisions to add back all involve estimates.</w:t>
      </w:r>
    </w:p>
    <w:p>
      <w:pPr>
        <w:pStyle w:val="ListBullet2"/>
        <w:spacing w:after="20"/>
      </w:pPr>
      <w:r>
        <w:rPr>
          <w:sz w:val="20"/>
        </w:rPr>
        <w:t>This makes EVA harder to calculate and to explain, and it can be disputed by the managers being measured.</w:t>
      </w:r>
    </w:p>
    <w:p>
      <w:pPr>
        <w:pStyle w:val="ListBullet"/>
        <w:spacing w:before="80" w:after="20"/>
      </w:pPr>
      <w:r>
        <w:rPr>
          <w:b/>
          <w:sz w:val="20"/>
        </w:rPr>
        <w:t>The judgement in the adjustments can itself be gamed.</w:t>
      </w:r>
    </w:p>
    <w:p>
      <w:pPr>
        <w:pStyle w:val="ListBullet2"/>
        <w:spacing w:after="20"/>
      </w:pPr>
      <w:r>
        <w:rPr>
          <w:sz w:val="20"/>
        </w:rPr>
        <w:t>Because the adjustments are subjective, a board that wants to justify a bonus could choose adjustments that flatter the result.</w:t>
      </w:r>
    </w:p>
    <w:p>
      <w:pPr>
        <w:pStyle w:val="ListBullet2"/>
        <w:spacing w:after="20"/>
      </w:pPr>
      <w:r>
        <w:rPr>
          <w:sz w:val="20"/>
        </w:rPr>
        <w:t>For Diamante, where a scheme is being designed under pressure, this weakens the objectivity that a good KPI needs.</w:t>
      </w:r>
    </w:p>
    <w:p>
      <w:pPr>
        <w:pStyle w:val="ListBullet"/>
        <w:spacing w:before="80" w:after="20"/>
      </w:pPr>
      <w:r>
        <w:rPr>
          <w:b/>
          <w:sz w:val="20"/>
        </w:rPr>
        <w:t>It is very sensitive to the cost of capital used.</w:t>
      </w:r>
    </w:p>
    <w:p>
      <w:pPr>
        <w:pStyle w:val="ListBullet2"/>
        <w:spacing w:after="20"/>
      </w:pPr>
      <w:r>
        <w:rPr>
          <w:sz w:val="20"/>
        </w:rPr>
        <w:t>A small change in WACC moves the capital charge and can flip EVA from positive to negative.</w:t>
      </w:r>
    </w:p>
    <w:p>
      <w:pPr>
        <w:pStyle w:val="ListBullet2"/>
        <w:spacing w:after="20"/>
      </w:pPr>
      <w:r>
        <w:rPr>
          <w:sz w:val="20"/>
        </w:rPr>
        <w:t>With Diamante’s refinancing unresolved, the WACC is unstable, so the resulting EVA could be argued either way.</w:t>
      </w:r>
    </w:p>
    <w:p>
      <w:pPr>
        <w:pStyle w:val="ListBullet"/>
        <w:spacing w:before="80" w:after="20"/>
      </w:pPr>
      <w:r>
        <w:rPr>
          <w:b/>
          <w:sz w:val="20"/>
        </w:rPr>
        <w:t>Many of its classic adjustments add little for a mining company.</w:t>
      </w:r>
    </w:p>
    <w:p>
      <w:pPr>
        <w:pStyle w:val="ListBullet2"/>
        <w:spacing w:after="20"/>
      </w:pPr>
      <w:r>
        <w:rPr>
          <w:sz w:val="20"/>
        </w:rPr>
        <w:t>EVA’s well-known adjustments for brand-building and research suit consumer or technology businesses.</w:t>
      </w:r>
    </w:p>
    <w:p>
      <w:pPr>
        <w:pStyle w:val="ListBullet2"/>
        <w:spacing w:after="20"/>
      </w:pPr>
      <w:r>
        <w:rPr>
          <w:sz w:val="20"/>
        </w:rPr>
        <w:t>Diamante’s value lies in its ore bodies and operations rather than brands or research, so much of EVA’s extra complexity buys little benefit here.</w:t>
      </w:r>
    </w:p>
    <w:p>
      <w:pPr>
        <w:spacing w:before="220" w:after="60"/>
        <w:shd w:val="clear" w:fill="7a4a12"/>
      </w:pPr>
      <w:r>
        <w:rPr>
          <w:b/>
          <w:color w:val="FFFFFF"/>
          <w:sz w:val="25"/>
        </w:rPr>
        <w:t>3 · Free Cash Flow (FCF) as a KPI</w:t>
      </w:r>
    </w:p>
    <w:p>
      <w:pPr>
        <w:spacing w:after="80"/>
      </w:pPr>
      <w:r>
        <w:rPr>
          <w:i/>
          <w:sz w:val="19"/>
        </w:rPr>
        <w:t>Reminder of the measure: a simple FCF = cash generated from operations − sustaining capital expenditure. It is the real spare cash the business produces after keeping its assets going.</w:t>
      </w:r>
    </w:p>
    <w:p>
      <w:pPr>
        <w:spacing w:before="140" w:after="40"/>
      </w:pPr>
      <w:r>
        <w:rPr>
          <w:b/>
          <w:color w:val="12602F"/>
          <w:sz w:val="22"/>
        </w:rPr>
        <w:t>Pros of using FCF</w:t>
      </w:r>
    </w:p>
    <w:p>
      <w:pPr>
        <w:pStyle w:val="ListBullet"/>
        <w:spacing w:before="80" w:after="20"/>
      </w:pPr>
      <w:r>
        <w:rPr>
          <w:b/>
          <w:sz w:val="20"/>
        </w:rPr>
        <w:t>It rewards the actual cash the business generates.</w:t>
      </w:r>
    </w:p>
    <w:p>
      <w:pPr>
        <w:pStyle w:val="ListBullet2"/>
        <w:spacing w:after="20"/>
      </w:pPr>
      <w:r>
        <w:rPr>
          <w:sz w:val="20"/>
        </w:rPr>
        <w:t>Cash, not accounting profit, is what pays debts, funds investment and keeps a company solvent.</w:t>
      </w:r>
    </w:p>
    <w:p>
      <w:pPr>
        <w:pStyle w:val="ListBullet2"/>
        <w:spacing w:after="20"/>
      </w:pPr>
      <w:r>
        <w:rPr>
          <w:sz w:val="20"/>
        </w:rPr>
        <w:t>Diamante is loss-making and trying to refinance, so cash generation is the single most important thing management can deliver.</w:t>
      </w:r>
    </w:p>
    <w:p>
      <w:pPr>
        <w:pStyle w:val="ListBullet"/>
        <w:spacing w:before="80" w:after="20"/>
      </w:pPr>
      <w:r>
        <w:rPr>
          <w:b/>
          <w:sz w:val="20"/>
        </w:rPr>
        <w:t>It is much harder to manipulate than profit.</w:t>
      </w:r>
    </w:p>
    <w:p>
      <w:pPr>
        <w:pStyle w:val="ListBullet2"/>
        <w:spacing w:after="20"/>
      </w:pPr>
      <w:r>
        <w:rPr>
          <w:sz w:val="20"/>
        </w:rPr>
        <w:t>FCF is based on real cash movements, so it cannot be dressed up by accounting entries.</w:t>
      </w:r>
    </w:p>
    <w:p>
      <w:pPr>
        <w:pStyle w:val="ListBullet2"/>
        <w:spacing w:after="20"/>
      </w:pPr>
      <w:r>
        <w:rPr>
          <w:sz w:val="20"/>
        </w:rPr>
        <w:t>This means it side-steps Diamante’s big distortions this year, the R963 million impairment and the R405 million Botswana profit, both of which are non-cash.</w:t>
      </w:r>
    </w:p>
    <w:p>
      <w:pPr>
        <w:pStyle w:val="ListBullet"/>
        <w:spacing w:before="80" w:after="20"/>
      </w:pPr>
      <w:r>
        <w:rPr>
          <w:b/>
          <w:sz w:val="20"/>
        </w:rPr>
        <w:t>It can carry a meaningful, motivating target.</w:t>
      </w:r>
    </w:p>
    <w:p>
      <w:pPr>
        <w:pStyle w:val="ListBullet2"/>
        <w:spacing w:after="20"/>
      </w:pPr>
      <w:r>
        <w:rPr>
          <w:sz w:val="20"/>
        </w:rPr>
        <w:t>A profit-growth target is meaningless when the company is making a loss, because there is no profit to grow.</w:t>
      </w:r>
    </w:p>
    <w:p>
      <w:pPr>
        <w:pStyle w:val="ListBullet2"/>
        <w:spacing w:after="20"/>
      </w:pPr>
      <w:r>
        <w:rPr>
          <w:sz w:val="20"/>
        </w:rPr>
        <w:t>Diamante’s cash generation is still weakly positive at roughly R207 million, so a realistic and stretching cash target can actually be set.</w:t>
      </w:r>
    </w:p>
    <w:p>
      <w:pPr>
        <w:pStyle w:val="ListBullet"/>
        <w:spacing w:before="80" w:after="20"/>
      </w:pPr>
      <w:r>
        <w:rPr>
          <w:b/>
          <w:sz w:val="20"/>
        </w:rPr>
        <w:t>It aligns managers with the company’s most urgent priority.</w:t>
      </w:r>
    </w:p>
    <w:p>
      <w:pPr>
        <w:pStyle w:val="ListBullet2"/>
        <w:spacing w:after="20"/>
      </w:pPr>
      <w:r>
        <w:rPr>
          <w:sz w:val="20"/>
        </w:rPr>
        <w:t>The board’s immediate concern is the refinancing and staying a going concern.</w:t>
      </w:r>
    </w:p>
    <w:p>
      <w:pPr>
        <w:pStyle w:val="ListBullet2"/>
        <w:spacing w:after="20"/>
      </w:pPr>
      <w:r>
        <w:rPr>
          <w:sz w:val="20"/>
        </w:rPr>
        <w:t>Rewarding FCF points every manager at that same goal, which is exactly what an incentive scheme should do.</w:t>
      </w:r>
    </w:p>
    <w:p>
      <w:pPr>
        <w:spacing w:before="140" w:after="40"/>
      </w:pPr>
      <w:r>
        <w:rPr>
          <w:b/>
          <w:color w:val="8A2020"/>
          <w:sz w:val="22"/>
        </w:rPr>
        <w:t>Cons of using FCF</w:t>
      </w:r>
    </w:p>
    <w:p>
      <w:pPr>
        <w:pStyle w:val="ListBullet"/>
        <w:spacing w:before="80" w:after="20"/>
      </w:pPr>
      <w:r>
        <w:rPr>
          <w:b/>
          <w:sz w:val="20"/>
        </w:rPr>
        <w:t>It is naturally depressed by the heavy capital spending that mining needs.</w:t>
      </w:r>
    </w:p>
    <w:p>
      <w:pPr>
        <w:pStyle w:val="ListBullet2"/>
        <w:spacing w:after="20"/>
      </w:pPr>
      <w:r>
        <w:rPr>
          <w:sz w:val="20"/>
        </w:rPr>
        <w:t>Deep-level mining requires large, ongoing capital expenditure just to keep the mines operating.</w:t>
      </w:r>
    </w:p>
    <w:p>
      <w:pPr>
        <w:pStyle w:val="ListBullet2"/>
        <w:spacing w:after="20"/>
      </w:pPr>
      <w:r>
        <w:rPr>
          <w:sz w:val="20"/>
        </w:rPr>
        <w:t>This spending is subtracted in FCF, so a well-run Diamante mine can still show low FCF simply because it is capital-intensive.</w:t>
      </w:r>
    </w:p>
    <w:p>
      <w:pPr>
        <w:pStyle w:val="ListBullet"/>
        <w:spacing w:before="80" w:after="20"/>
      </w:pPr>
      <w:r>
        <w:rPr>
          <w:b/>
          <w:sz w:val="20"/>
        </w:rPr>
        <w:t>It can be gamed by cutting essential spending, which is dangerous here.</w:t>
      </w:r>
    </w:p>
    <w:p>
      <w:pPr>
        <w:pStyle w:val="ListBullet2"/>
        <w:spacing w:after="20"/>
      </w:pPr>
      <w:r>
        <w:rPr>
          <w:sz w:val="20"/>
        </w:rPr>
        <w:t>A manager can boost this year’s FCF by deferring capital projects, maintenance or safety spending.</w:t>
      </w:r>
    </w:p>
    <w:p>
      <w:pPr>
        <w:pStyle w:val="ListBullet2"/>
        <w:spacing w:after="20"/>
      </w:pPr>
      <w:r>
        <w:rPr>
          <w:sz w:val="20"/>
        </w:rPr>
        <w:t>In Diamante’s deep mines this is especially risky, because delayed maintenance and safety spend can lead to stoppages, injuries and lost production later.</w:t>
      </w:r>
    </w:p>
    <w:p>
      <w:pPr>
        <w:pStyle w:val="ListBullet2"/>
        <w:spacing w:after="20"/>
      </w:pPr>
      <w:r>
        <w:rPr>
          <w:sz w:val="20"/>
        </w:rPr>
        <w:t>For this reason essential capital and safety spend should be ring-fenced and excluded from the manager’s control of the number.</w:t>
      </w:r>
    </w:p>
    <w:p>
      <w:pPr>
        <w:pStyle w:val="ListBullet"/>
        <w:spacing w:before="80" w:after="20"/>
      </w:pPr>
      <w:r>
        <w:rPr>
          <w:b/>
          <w:sz w:val="20"/>
        </w:rPr>
        <w:t>It swings with the diamond price, which management cannot control.</w:t>
      </w:r>
    </w:p>
    <w:p>
      <w:pPr>
        <w:pStyle w:val="ListBullet2"/>
        <w:spacing w:after="20"/>
      </w:pPr>
      <w:r>
        <w:rPr>
          <w:sz w:val="20"/>
        </w:rPr>
        <w:t>A large part of Diamante’s cash flow depends on the rand diamond price, which is set by the market.</w:t>
      </w:r>
    </w:p>
    <w:p>
      <w:pPr>
        <w:pStyle w:val="ListBullet2"/>
        <w:spacing w:after="20"/>
      </w:pPr>
      <w:r>
        <w:rPr>
          <w:sz w:val="20"/>
        </w:rPr>
        <w:t>Under the controllability principle a manager should not be rewarded or punished for price moves, so FCF needs to be benchmarked against the price to stay fair.</w:t>
      </w:r>
    </w:p>
    <w:p>
      <w:pPr>
        <w:pStyle w:val="ListBullet"/>
        <w:spacing w:before="80" w:after="20"/>
      </w:pPr>
      <w:r>
        <w:rPr>
          <w:b/>
          <w:sz w:val="20"/>
        </w:rPr>
        <w:t>A short-term cash focus can starve long-term value creation.</w:t>
      </w:r>
    </w:p>
    <w:p>
      <w:pPr>
        <w:pStyle w:val="ListBullet2"/>
        <w:spacing w:after="20"/>
      </w:pPr>
      <w:r>
        <w:rPr>
          <w:sz w:val="20"/>
        </w:rPr>
        <w:t>If managers chase this year’s cash, they may under-invest in the future development of the ore bodies.</w:t>
      </w:r>
    </w:p>
    <w:p>
      <w:pPr>
        <w:pStyle w:val="ListBullet2"/>
        <w:spacing w:after="20"/>
      </w:pPr>
      <w:r>
        <w:rPr>
          <w:sz w:val="20"/>
        </w:rPr>
        <w:t>This is why FCF should be paired with a value measure such as RI or EVA, so survival is rewarded without sacrificing long-term value.</w:t>
      </w:r>
    </w:p>
    <w:p>
      <w:pPr>
        <w:spacing w:before="220" w:after="60"/>
        <w:shd w:val="clear" w:fill="1f3d6b"/>
      </w:pPr>
      <w:r>
        <w:rPr>
          <w:b/>
          <w:color w:val="FFFFFF"/>
          <w:sz w:val="25"/>
        </w:rPr>
        <w:t>Overall recommendation for Diamante</w:t>
      </w:r>
    </w:p>
    <w:p>
      <w:pPr>
        <w:pStyle w:val="ListBullet2"/>
        <w:spacing w:after="20"/>
      </w:pPr>
      <w:r>
        <w:rPr>
          <w:sz w:val="20"/>
        </w:rPr>
        <w:t>Use free cash flow as the headline KPI, because survival and the refinancing are the immediate priority, but ring-fence essential capital and safety spend so it cannot be gamed.</w:t>
      </w:r>
    </w:p>
    <w:p>
      <w:pPr>
        <w:pStyle w:val="ListBullet2"/>
        <w:spacing w:after="20"/>
      </w:pPr>
      <w:r>
        <w:rPr>
          <w:sz w:val="20"/>
        </w:rPr>
        <w:t>Add a per-mine residual income, because each mine is a separate CGU, so each mine manager is rewarded for the value their own mine adds.</w:t>
      </w:r>
    </w:p>
    <w:p>
      <w:pPr>
        <w:pStyle w:val="ListBullet2"/>
        <w:spacing w:after="20"/>
      </w:pPr>
      <w:r>
        <w:rPr>
          <w:sz w:val="20"/>
        </w:rPr>
        <w:t>Use a banked group EVA for the executives, so their long-term reward is tied to real shareholder value and is only released once value returns.</w:t>
      </w:r>
    </w:p>
    <w:p>
      <w:pPr>
        <w:pStyle w:val="ListBullet2"/>
        <w:spacing w:after="20"/>
      </w:pPr>
      <w:r>
        <w:rPr>
          <w:sz w:val="20"/>
        </w:rPr>
        <w:t>In every case, normalise the one-off impairment and Botswana profit, set the WACC independently, and benchmark against the diamond price, so managers are judged only on what they control.</w:t>
      </w:r>
    </w:p>
    <w:p>
      <w:pPr>
        <w:spacing w:after="80"/>
      </w:pPr>
      <w:r>
        <w:rPr>
          <w:i/>
          <w:sz w:val="17"/>
        </w:rPr>
        <w:t>NOPAT and net-investment conventions and the RI/EVA method are from the IAC MAF performance-evaluation notes; Diamante figures are illustrative from the draft pre-release and some inputs (per-mine assets, a cash flow statement) are not disclosed and should be requested.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