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D6B"/>
          <w:sz w:val="28"/>
        </w:rPr>
        <w:t>Diamante — Per-mine performance: Mine 1 vs Mine 2 (worked illustration, FY2026)</w:t>
      </w:r>
    </w:p>
    <w:p>
      <w:pPr>
        <w:spacing w:after="80"/>
      </w:pPr>
      <w:r>
        <w:rPr>
          <w:b w:val="0"/>
          <w:i/>
          <w:sz w:val="18"/>
        </w:rPr>
        <w:t>Companion to the performance-measures note. Because only revenue and the non-financial impairment are disclosed per mine, the other lines are split on stated assumptions — treat the figures as illustrative of the METHOD, not audited results. R millions.</w:t>
      </w:r>
    </w:p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Assumptions used to split the two mines</w:t>
      </w:r>
    </w:p>
    <w:p>
      <w:pPr>
        <w:pStyle w:val="ListBullet"/>
        <w:spacing w:after="60"/>
      </w:pPr>
      <w:r>
        <w:rPr>
          <w:b/>
        </w:rPr>
        <w:t xml:space="preserve">Disclosed per mine: </w:t>
      </w:r>
      <w:r>
        <w:t>Revenue (Mine 1 R1 233m; Mine 2 R630m) and the non-financial impairment (Mine 1 R630m; Mine 2 R333m).</w:t>
      </w:r>
    </w:p>
    <w:p>
      <w:pPr>
        <w:pStyle w:val="ListBullet"/>
        <w:spacing w:after="60"/>
      </w:pPr>
      <w:r>
        <w:rPr>
          <w:b/>
        </w:rPr>
        <w:t xml:space="preserve">Split pro-rata to revenue (Mine 1 66.2% / Mine 2 33.8%): </w:t>
      </w:r>
      <w:r>
        <w:t>mining costs, other corporate expenditure, the R207m financial impairment, and net investment. (Ideally use mine-level cost and asset data / carats — I would request the divisional balance sheets.)</w:t>
      </w:r>
    </w:p>
    <w:p>
      <w:pPr>
        <w:pStyle w:val="ListBullet"/>
        <w:spacing w:after="60"/>
      </w:pPr>
      <w:r>
        <w:rPr>
          <w:b/>
        </w:rPr>
        <w:t xml:space="preserve">Divisional NOPAT </w:t>
      </w:r>
      <w:r>
        <w:t>excludes group finance income/expense (financing is a group matter), so it is operating result × (1 − 27%). This is why the mine NOPATs sum to (R1 196m), not the group’s (R979m) which retained finance income.</w:t>
      </w:r>
    </w:p>
    <w:p>
      <w:pPr>
        <w:pStyle w:val="ListBullet"/>
        <w:spacing w:after="60"/>
      </w:pPr>
      <w:r>
        <w:rPr>
          <w:b/>
        </w:rPr>
        <w:t xml:space="preserve">WACC 12% assumed; </w:t>
      </w:r>
      <w:r>
        <w:t>Mine 2 is shown also at a risk-adjusted 14% (older / lower-grade, under strategic review).</w:t>
      </w:r>
    </w:p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Worked calculation — Mine 1 vs Mine 2 (FY2026)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744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1224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Mine 1</w:t>
            </w:r>
          </w:p>
        </w:tc>
        <w:tc>
          <w:tcPr>
            <w:tcW w:type="dxa" w:w="1224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Mine 2</w:t>
            </w:r>
          </w:p>
        </w:tc>
        <w:tc>
          <w:tcPr>
            <w:tcW w:type="dxa" w:w="1224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880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Basis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Revenue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1 233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630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1 863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Disclosed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Mining costs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(1 519)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(776)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(2 295)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Pro-rata to revenue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Other corporate expenditure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(24)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(12)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(36)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Pro-rata to revenue</w:t>
            </w:r>
          </w:p>
        </w:tc>
      </w:tr>
      <w:tr>
        <w:tc>
          <w:tcPr>
            <w:tcW w:type="dxa" w:w="3744"/>
            <w:shd w:val="clear" w:fill="eef2f8"/>
          </w:tcPr>
          <w:p>
            <w:r/>
            <w:r>
              <w:rPr>
                <w:b/>
                <w:sz w:val="18"/>
              </w:rPr>
              <w:t>Operating result BEFORE impairment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  <w:t>(310)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  <w:t>(158)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  <w:t>(468)</w:t>
            </w:r>
          </w:p>
        </w:tc>
        <w:tc>
          <w:tcPr>
            <w:tcW w:type="dxa" w:w="2880"/>
            <w:shd w:val="clear" w:fill="eef2f8"/>
          </w:tcPr>
          <w:p>
            <w:r/>
            <w:r>
              <w:rPr>
                <w:b/>
                <w:sz w:val="18"/>
              </w:rPr>
              <w:t>Both mines lose money even before impairment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Impairment — non-financial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(630)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(333)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(963)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Disclosed per mine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Impairment — financial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(137)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(70)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(207)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Pro-rata to revenue</w:t>
            </w:r>
          </w:p>
        </w:tc>
      </w:tr>
      <w:tr>
        <w:tc>
          <w:tcPr>
            <w:tcW w:type="dxa" w:w="3744"/>
            <w:shd w:val="clear" w:fill="eef2f8"/>
          </w:tcPr>
          <w:p>
            <w:r/>
            <w:r>
              <w:rPr>
                <w:b/>
                <w:sz w:val="18"/>
              </w:rPr>
              <w:t>Operating result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  <w:t>(1 077)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  <w:t>(561)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  <w:t>(1 638)</w:t>
            </w:r>
          </w:p>
        </w:tc>
        <w:tc>
          <w:tcPr>
            <w:tcW w:type="dxa" w:w="2880"/>
            <w:shd w:val="clear" w:fill="eef2f8"/>
          </w:tcPr>
          <w:p>
            <w:r/>
            <w:r>
              <w:rPr>
                <w:b/>
                <w:sz w:val="18"/>
              </w:rPr>
              <w:t>= group operating loss</w:t>
            </w:r>
          </w:p>
        </w:tc>
      </w:tr>
      <w:tr>
        <w:tc>
          <w:tcPr>
            <w:tcW w:type="dxa" w:w="3744"/>
            <w:shd w:val="clear" w:fill="eef2f8"/>
          </w:tcPr>
          <w:p>
            <w:r/>
            <w:r>
              <w:rPr>
                <w:b/>
                <w:sz w:val="18"/>
              </w:rPr>
              <w:t>NOPAT (operating result × 73%)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  <w:t>(786)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  <w:t>(410)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  <w:t>(1 196)</w:t>
            </w:r>
          </w:p>
        </w:tc>
        <w:tc>
          <w:tcPr>
            <w:tcW w:type="dxa" w:w="2880"/>
            <w:shd w:val="clear" w:fill="eef2f8"/>
          </w:tcPr>
          <w:p>
            <w:r/>
            <w:r>
              <w:rPr>
                <w:b/>
                <w:sz w:val="18"/>
              </w:rPr>
              <w:t>Divisional, excl. group finance income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Net investment (permanent capital)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2 925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1 494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4 419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Pro-rata to revenue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ROI  (NOPAT ÷ net investment)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(26.9%)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(27.4%)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Both deeply negative</w:t>
            </w:r>
          </w:p>
        </w:tc>
      </w:tr>
      <w:tr>
        <w:tc>
          <w:tcPr>
            <w:tcW w:type="dxa" w:w="3744"/>
            <w:shd w:val="clear" w:fill="eef2f8"/>
          </w:tcPr>
          <w:p>
            <w:r/>
            <w:r>
              <w:rPr>
                <w:b/>
                <w:sz w:val="18"/>
              </w:rPr>
              <w:t>Residual income @ 12% WACC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  <w:t>(1 137)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  <w:t>(589)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  <w:t>(1 726)</w:t>
            </w:r>
          </w:p>
        </w:tc>
        <w:tc>
          <w:tcPr>
            <w:tcW w:type="dxa" w:w="2880"/>
            <w:shd w:val="clear" w:fill="eef2f8"/>
          </w:tcPr>
          <w:p>
            <w:r/>
            <w:r>
              <w:rPr>
                <w:b/>
                <w:sz w:val="18"/>
              </w:rPr>
              <w:t>NOPAT − (WACC × net investment)</w:t>
            </w:r>
          </w:p>
        </w:tc>
      </w:tr>
      <w:tr>
        <w:tc>
          <w:tcPr>
            <w:tcW w:type="dxa" w:w="3744"/>
            <w:shd w:val="clear" w:fill="eef2f8"/>
          </w:tcPr>
          <w:p>
            <w:r/>
            <w:r>
              <w:rPr>
                <w:b/>
                <w:sz w:val="18"/>
              </w:rPr>
              <w:t>Residual income (risk-adj: M1 12%, M2 14%)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  <w:t>(1 137)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  <w:t>(619)</w:t>
            </w:r>
          </w:p>
        </w:tc>
        <w:tc>
          <w:tcPr>
            <w:tcW w:type="dxa" w:w="1224"/>
            <w:shd w:val="clear" w:fill="eef2f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val="clear" w:fill="eef2f8"/>
          </w:tcPr>
          <w:p>
            <w:r/>
            <w:r>
              <w:rPr>
                <w:b/>
                <w:sz w:val="18"/>
              </w:rPr>
              <w:t>Mine 2 worse once risk-adjusted</w:t>
            </w:r>
          </w:p>
        </w:tc>
      </w:tr>
    </w:tbl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What the per-mine numbers show</w:t>
      </w:r>
    </w:p>
    <w:p>
      <w:pPr>
        <w:pStyle w:val="ListBullet"/>
        <w:spacing w:after="60"/>
      </w:pPr>
      <w:r>
        <w:rPr>
          <w:b/>
        </w:rPr>
        <w:t xml:space="preserve">Both mines destroy value. </w:t>
      </w:r>
      <w:r>
        <w:t>ROI is roughly −27% at each mine and residual income is hugely negative — every rand of capital tied up in the mines is earning far below the ~12% it costs. This is the honest basis for reward: on RI/EVA, neither mine has earned a bonus.</w:t>
      </w:r>
    </w:p>
    <w:p>
      <w:pPr>
        <w:pStyle w:val="ListBullet"/>
        <w:spacing w:after="60"/>
      </w:pPr>
      <w:r>
        <w:rPr>
          <w:b/>
        </w:rPr>
        <w:t xml:space="preserve">The losses are not only impairments. </w:t>
      </w:r>
      <w:r>
        <w:t>Even BEFORE the R963m impairment, both mines make an operating loss (Mine 1 −R310m; Mine 2 −R158m) — the core mining is under water, so cost-and-price fixes are needed, not just a one-off write-down.</w:t>
      </w:r>
    </w:p>
    <w:p>
      <w:pPr>
        <w:pStyle w:val="ListBullet"/>
        <w:spacing w:after="60"/>
      </w:pPr>
      <w:r>
        <w:rPr>
          <w:b/>
        </w:rPr>
        <w:t xml:space="preserve">Mine 2 is the weaker asset — and the gap is understated here. </w:t>
      </w:r>
      <w:r>
        <w:t>On a simple revenue-pro-rata split the two ROIs look similar, but Mine 2’s revenue fell 42% (vs Mine 1’s 28%), it took a large impairment, and its costs are likely stickier (older, lower-grade). Allocating more of the fixed cost to Mine 2, or risk-adjusting its WACC to 14%, pushes its RI down further. This is exactly why the board is "evaluating the future of Mine 2" (Doc 3) — the numbers support a closure / held-for-sale / care-and-maintenance review.</w:t>
      </w:r>
    </w:p>
    <w:p>
      <w:pPr>
        <w:pStyle w:val="ListBullet"/>
        <w:spacing w:after="60"/>
      </w:pPr>
      <w:r>
        <w:rPr>
          <w:b/>
        </w:rPr>
        <w:t xml:space="preserve">Implication for the incentive scheme. </w:t>
      </w:r>
      <w:r>
        <w:t>Measured properly (per mine, on RI/EVA, cost per carat and safety), management would NOT earn a bonus in FY2026 — which is the opposite of what the Document 5 KPIs would deliver, and confirms the "reward for failure" concern.</w:t>
      </w:r>
    </w:p>
    <w:p>
      <w:pPr>
        <w:spacing w:after="20"/>
      </w:pPr>
      <w:r>
        <w:rPr>
          <w:b/>
          <w:i w:val="0"/>
          <w:sz w:val="22"/>
        </w:rPr>
        <w:t>Caveat</w:t>
      </w:r>
    </w:p>
    <w:p>
      <w:pPr>
        <w:spacing w:after="80"/>
      </w:pPr>
      <w:r>
        <w:rPr>
          <w:b w:val="0"/>
          <w:i w:val="0"/>
          <w:sz w:val="19"/>
        </w:rPr>
        <w:t>These per-mine figures rest on revenue-based allocations because the divisional cost and asset splits are not disclosed. Before advising the client I would request each mine’s balance sheet, its mining costs, and carats recovered/sold, so that cost per carat, realised US$/carat and a true per-mine ROI/RI/EVA can be calculated rather than estimated.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