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8"/>
        </w:rPr>
        <w:t>Diamante Ltd — Diamond-Industry Key Performance Indicators: Framework, Application &amp; Gaps</w:t>
      </w:r>
    </w:p>
    <w:p>
      <w:pPr>
        <w:spacing w:after="80"/>
      </w:pPr>
      <w:r>
        <w:rPr>
          <w:b w:val="0"/>
          <w:i/>
          <w:sz w:val="18"/>
        </w:rPr>
        <w:t>This is the master performance-measurement note for Diamante. It sets out the KPIs expected of a diamond miner, applies them to Diamante using the pre-release financials, and analyses the standard industry KPIs that Diamante is missing. The detailed Document 5 KPI critique and the Petra/Gem financial comparison are in the companion documents and are not repeated here. Amounts are in R millions unless stated.</w:t>
      </w:r>
    </w:p>
    <w:p>
      <w:pPr>
        <w:spacing w:before="18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1. The KPI framework expected of a diamond miner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312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What it captures</w:t>
            </w:r>
          </w:p>
        </w:tc>
        <w:tc>
          <w:tcPr>
            <w:tcW w:type="dxa" w:w="504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Typical measures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Production / operating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Volume and quality of what is mined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Carats recovered; tonnes treated; grade (carats per hundred tonnes); recovery/yield; waste stripping / development metres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Value / pricing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How much value is realised per unit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Realised US$ per carat; product mix; high-value stones as a % of production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Cost efficiency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Unit cost of production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On-mine cost per carat and per tonne treated; unit-cost trend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Profitability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Margins earned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Operating margin; EBITDA and EBITDA margin; net margin; return on capital employed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Cash &amp; balance sheet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Cash generation and financial strength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Free cash flow; net debt; net debt : EBITDA; gearing; interest cover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Working capital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Efficiency of receivables, inventory, payables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Inventory, receivables and payables days; cash conversion cycle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Safety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Harm to people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Lost-time injury frequency rate (LTIFR); total recordable injury frequency rate (TRIFR)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ESG / sustainability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Environmental and social outcomes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Scope 1 and 2 emissions vs roadmap; water use; tailings compliance; rehabilitation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Reserves / life-of-mine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Sustainability of the resource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Reserves and resources; life-of-mine; reserve replacement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Market &amp; shareholder returns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Value delivered to owners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Revenue by market; earnings per share; total shareholder return; dividends</w:t>
            </w:r>
          </w:p>
        </w:tc>
      </w:tr>
    </w:tbl>
    <w:p>
      <w:pPr>
        <w:spacing w:before="18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2. The KPIs applied to Diamante (calculated from the pre-release)</w:t>
      </w:r>
    </w:p>
    <w:p>
      <w:pPr>
        <w:spacing w:before="100" w:after="20"/>
      </w:pPr>
      <w:r>
        <w:rPr>
          <w:b/>
          <w:color w:val="1F3D6B"/>
          <w:sz w:val="22"/>
        </w:rPr>
        <w:t>2.1 Production and operating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2448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Diamante 2026</w:t>
            </w:r>
          </w:p>
        </w:tc>
        <w:tc>
          <w:tcPr>
            <w:tcW w:type="dxa" w:w="2448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Diamante 2025</w:t>
            </w:r>
          </w:p>
        </w:tc>
        <w:tc>
          <w:tcPr>
            <w:tcW w:type="dxa" w:w="288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Carats recovered / sold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disclosed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disclosed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 carat data is given, so per-carat KPIs cannot be computed; this data should be requested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Tonnes treated / grade / recovery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disclosed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disclosed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Core operating metrics are absent from the pre-release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Revenue by mine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Mine 1 R1 233m; Mine 2 R630m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Mine 1 R1 710m; Mine 2 R630→R1 080m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Mine 2 revenue fell 42% versus Mine 1’s 28%, so Mine 2 is the weaker asset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2.2 Value and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448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2448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Diamante</w:t>
            </w:r>
          </w:p>
        </w:tc>
        <w:tc>
          <w:tcPr>
            <w:tcW w:type="dxa" w:w="288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Realised US$ per carat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Revenue ÷ carats sold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Cannot compute (carats not disclosed)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This is the single most important value KPI and Diamante does not disclose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Revenue mix by market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Revenue by geography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US 52%; India 11%; China 10%; rest 27%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Heavy reliance on the US, which is expected to be flat, so the growth is dependent on India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Revenue change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Year-on-year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R1 863m vs R2 790m = −33%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Revenue fell a third, driven by weak prices and deferred tenders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2.3 Cost efficiency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144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2026</w:t>
            </w:r>
          </w:p>
        </w:tc>
        <w:tc>
          <w:tcPr>
            <w:tcW w:type="dxa" w:w="144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302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Cost per carat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Mining costs ÷ carats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Cannot compute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Cannot compute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standard cost measure cannot be computed without carats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Mining cost : revenue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Mining costs ÷ revenue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101%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Mining costs now exceed revenue, so the mines lose money at cost level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Mining cost change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Year-on-year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R2 295m vs R2 817m = −18.5%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Costs fell far below inflation, but partly by mining less and cutting employee costs 11%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2.4 Profitability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288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122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2026</w:t>
            </w:r>
          </w:p>
        </w:tc>
        <w:tc>
          <w:tcPr>
            <w:tcW w:type="dxa" w:w="122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Operating margin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Operating loss ÷ revenue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(87.9%)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(31.0%)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Deep operating loss, nearly three times worse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Operating margin excl. impairments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(Op loss + impairments) ÷ revenue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(25.1%)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(4.8%)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Even before impairments the mines are loss-making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Adjusted EBITDA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 loss + depreciation + impairments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207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540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Cash earnings are positive but more than halved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EBITDA margin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EBITDA ÷ revenue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11.1%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19.4%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Margin has fallen sharply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Net margin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Loss for year ÷ revenue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(56.0%)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(34.5%)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Large net loss both years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Return on assets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Loss for year ÷ total assets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(21.5%)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(14.2%)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Assets are not generating a return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2.5 Cash and balance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129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2026</w:t>
            </w:r>
          </w:p>
        </w:tc>
        <w:tc>
          <w:tcPr>
            <w:tcW w:type="dxa" w:w="129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288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Free cash flow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Operating cash flow − sustaining capex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Cannot fully compute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 cash flow statement is needed; adjusted EBITDA of R207m is the best proxy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Net debt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Borrowings − cash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2 592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2 178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Rising net debt against falling earnings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Net debt : EBITDA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Net debt ÷ adjusted EBITDA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12.5x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4.0x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Extremely stretched; a clear distress signal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Gearing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Net debt ÷ equity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291%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114%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Gearing has almost tripled as equity halved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Interest cover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Operating profit ÷ finance cost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Operations make a loss, so interest is not covered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Current ratio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Current assets ÷ current liabilities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0.30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1.12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Liquidity collapsed as loans were reclassified to current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2.6 Working capital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448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144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2026</w:t>
            </w:r>
          </w:p>
        </w:tc>
        <w:tc>
          <w:tcPr>
            <w:tcW w:type="dxa" w:w="144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504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Inventory days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~50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~59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Inventory reduced; watch for forced low-price sales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Receivables days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~39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~62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Improved, but partly because revenue is lower and tenders settle on award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Payables days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~47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~91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Paying suppliers much faster while cash is scarce, a further cash drain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2.7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2448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Diamante</w:t>
            </w:r>
          </w:p>
        </w:tc>
        <w:tc>
          <w:tcPr>
            <w:tcW w:type="dxa" w:w="561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LTIFR / TRIFR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 disclosed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This is a non-negotiable mining KPI that is entirely absent from the pre-release and the incentive scheme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2.8 ESG / sustainability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312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Diamante</w:t>
            </w:r>
          </w:p>
        </w:tc>
        <w:tc>
          <w:tcPr>
            <w:tcW w:type="dxa" w:w="432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Scope 1 and 2 emissions vs roadmap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Roadmap targets a 35–40% cut by 2030; actual intensity not disclosed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The company has a target but does not yet report actual emissions performance against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Rehabilitation / tailings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Provisions R621m (2026) vs R900m (2025)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Provisions fell R279m, partly from the Botswana disposal; the basis should be checked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Carbon / water per carat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Not disclosed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Intensity metrics that peers report are absent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2.9 Reserves, market and shareholder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60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Diamante</w:t>
            </w:r>
          </w:p>
        </w:tc>
        <w:tc>
          <w:tcPr>
            <w:tcW w:type="dxa" w:w="432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Insight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Reserves / life-of-mine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Not disclosed (but "life of mines" is a board focus)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 reserve and life-of-mine KPI would reward sustaining the resource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Earnings per share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Cannot compute (share count not given)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Needed for a listed company; would be deeply negative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Total shareholder return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Not disclosed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The standard long-term-incentive measure, which the scheme does not use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Dividends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None for two years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 cash returns while the company is loss-making and refinancing</w:t>
            </w:r>
          </w:p>
        </w:tc>
      </w:tr>
    </w:tbl>
    <w:p>
      <w:pPr>
        <w:spacing w:before="18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3. The standard diamond-industry KPIs that Diamante is missing (qualitative analysis)</w:t>
      </w:r>
    </w:p>
    <w:p>
      <w:pPr>
        <w:spacing w:after="80"/>
      </w:pPr>
      <w:r>
        <w:rPr>
          <w:b w:val="0"/>
          <w:i/>
          <w:sz w:val="19"/>
        </w:rPr>
        <w:t>The following measures are standard across the diamond industry, yet are absent from both Diamante’s disclosure and its incentive scheme. Their omission is significant.</w:t>
      </w:r>
    </w:p>
    <w:p>
      <w:pPr>
        <w:spacing w:before="100" w:after="20"/>
      </w:pPr>
      <w:r>
        <w:rPr>
          <w:b/>
          <w:color w:val="1F3D6B"/>
          <w:sz w:val="22"/>
        </w:rPr>
        <w:t>Realised US dollars per carat</w:t>
      </w:r>
    </w:p>
    <w:p>
      <w:pPr>
        <w:pStyle w:val="ListBullet"/>
        <w:spacing w:after="60"/>
      </w:pPr>
      <w:r>
        <w:rPr>
          <w:sz w:val="20"/>
        </w:rPr>
        <w:t>This is the single most important value metric in the diamond industry, because it shows how much value is being extracted from each stone sold.</w:t>
      </w:r>
    </w:p>
    <w:p>
      <w:pPr>
        <w:pStyle w:val="ListBullet"/>
        <w:spacing w:after="60"/>
      </w:pPr>
      <w:r>
        <w:rPr>
          <w:sz w:val="20"/>
        </w:rPr>
        <w:t>It captures Diamante’s value-led strategy far better than the vague "high-value diamonds as a percentage" measure that the scheme uses.</w:t>
      </w:r>
    </w:p>
    <w:p>
      <w:pPr>
        <w:pStyle w:val="ListBullet"/>
        <w:spacing w:after="60"/>
      </w:pPr>
      <w:r>
        <w:rPr>
          <w:sz w:val="20"/>
        </w:rPr>
        <w:t>Without it, Diamante cannot demonstrate whether it is actually realising higher value, and management is not rewarded for the tender-timing decisions, such as deferring sales in weak markets, that protect price.</w:t>
      </w:r>
    </w:p>
    <w:p>
      <w:pPr>
        <w:spacing w:before="100" w:after="20"/>
      </w:pPr>
      <w:r>
        <w:rPr>
          <w:b/>
          <w:color w:val="1F3D6B"/>
          <w:sz w:val="22"/>
        </w:rPr>
        <w:t>Cost per carat (unit cost)</w:t>
      </w:r>
    </w:p>
    <w:p>
      <w:pPr>
        <w:pStyle w:val="ListBullet"/>
        <w:spacing w:after="60"/>
      </w:pPr>
      <w:r>
        <w:rPr>
          <w:sz w:val="20"/>
        </w:rPr>
        <w:t>Cost per carat is the industry-standard efficiency measure, because it separates genuine efficiency from simply changing volumes.</w:t>
      </w:r>
    </w:p>
    <w:p>
      <w:pPr>
        <w:pStyle w:val="ListBullet"/>
        <w:spacing w:after="60"/>
      </w:pPr>
      <w:r>
        <w:rPr>
          <w:sz w:val="20"/>
        </w:rPr>
        <w:t>Diamante instead rewards absolute cost growth staying below inflation, which can be achieved by mining less rather than mining more efficiently.</w:t>
      </w:r>
    </w:p>
    <w:p>
      <w:pPr>
        <w:pStyle w:val="ListBullet"/>
        <w:spacing w:after="60"/>
      </w:pPr>
      <w:r>
        <w:rPr>
          <w:sz w:val="20"/>
        </w:rPr>
        <w:t>This matters especially now, because Mine 2’s volumes are collapsing, so an absolute cost measure flatters performance while unit costs may be rising.</w:t>
      </w:r>
    </w:p>
    <w:p>
      <w:pPr>
        <w:spacing w:before="100" w:after="20"/>
      </w:pPr>
      <w:r>
        <w:rPr>
          <w:b/>
          <w:color w:val="1F3D6B"/>
          <w:sz w:val="22"/>
        </w:rPr>
        <w:t>Carats recovered, grade and recovery</w:t>
      </w:r>
    </w:p>
    <w:p>
      <w:pPr>
        <w:pStyle w:val="ListBullet"/>
        <w:spacing w:after="60"/>
      </w:pPr>
      <w:r>
        <w:rPr>
          <w:sz w:val="20"/>
        </w:rPr>
        <w:t>These core production metrics are reported by every listed diamond miner, because they underpin every value and cost KPI.</w:t>
      </w:r>
    </w:p>
    <w:p>
      <w:pPr>
        <w:pStyle w:val="ListBullet"/>
        <w:spacing w:after="60"/>
      </w:pPr>
      <w:r>
        <w:rPr>
          <w:sz w:val="20"/>
        </w:rPr>
        <w:t>Diamante discloses no carat or tonnage data at all, which means none of the per-carat value or cost KPIs can even be calculated.</w:t>
      </w:r>
    </w:p>
    <w:p>
      <w:pPr>
        <w:pStyle w:val="ListBullet"/>
        <w:spacing w:after="60"/>
      </w:pPr>
      <w:r>
        <w:rPr>
          <w:sz w:val="20"/>
        </w:rPr>
        <w:t>For a listed company this is a real disclosure gap that the auditors and analysts would question.</w:t>
      </w:r>
    </w:p>
    <w:p>
      <w:pPr>
        <w:spacing w:before="100" w:after="20"/>
      </w:pPr>
      <w:r>
        <w:rPr>
          <w:b/>
          <w:color w:val="1F3D6B"/>
          <w:sz w:val="22"/>
        </w:rPr>
        <w:t>Free cash flow and net-debt reduction</w:t>
      </w:r>
    </w:p>
    <w:p>
      <w:pPr>
        <w:pStyle w:val="ListBullet"/>
        <w:spacing w:after="60"/>
      </w:pPr>
      <w:r>
        <w:rPr>
          <w:sz w:val="20"/>
        </w:rPr>
        <w:t>These are the survival KPIs, and for a company in Diamante’s position they are the most important of all.</w:t>
      </w:r>
    </w:p>
    <w:p>
      <w:pPr>
        <w:pStyle w:val="ListBullet"/>
        <w:spacing w:after="60"/>
      </w:pPr>
      <w:r>
        <w:rPr>
          <w:sz w:val="20"/>
        </w:rPr>
        <w:t>The company’s continued existence depends on generating cash and completing a refinancing, yet neither cash flow nor net-debt reduction is measured or rewarded.</w:t>
      </w:r>
    </w:p>
    <w:p>
      <w:pPr>
        <w:pStyle w:val="ListBullet"/>
        <w:spacing w:after="60"/>
      </w:pPr>
      <w:r>
        <w:rPr>
          <w:sz w:val="20"/>
        </w:rPr>
        <w:t>Rewarding management for deleveraging would align their incentives directly with the company’s survival and with the interests of the shareholders being asked for a rights issue.</w:t>
      </w:r>
    </w:p>
    <w:p>
      <w:pPr>
        <w:spacing w:before="100" w:after="20"/>
      </w:pPr>
      <w:r>
        <w:rPr>
          <w:b/>
          <w:color w:val="1F3D6B"/>
          <w:sz w:val="22"/>
        </w:rPr>
        <w:t>Safety (LTIFR / TRIFR)</w:t>
      </w:r>
    </w:p>
    <w:p>
      <w:pPr>
        <w:pStyle w:val="ListBullet"/>
        <w:spacing w:after="60"/>
      </w:pPr>
      <w:r>
        <w:rPr>
          <w:sz w:val="20"/>
        </w:rPr>
        <w:t>Safety performance is a non-negotiable KPI in mining, because it protects lives and the licence to operate.</w:t>
      </w:r>
    </w:p>
    <w:p>
      <w:pPr>
        <w:pStyle w:val="ListBullet"/>
        <w:spacing w:after="60"/>
      </w:pPr>
      <w:r>
        <w:rPr>
          <w:sz w:val="20"/>
        </w:rPr>
        <w:t>Its absence is dangerous here, because the cost KPI could actively reward cutting the very safety and maintenance spending that a deep-level mine depends on.</w:t>
      </w:r>
    </w:p>
    <w:p>
      <w:pPr>
        <w:spacing w:before="100" w:after="20"/>
      </w:pPr>
      <w:r>
        <w:rPr>
          <w:b/>
          <w:color w:val="1F3D6B"/>
          <w:sz w:val="22"/>
        </w:rPr>
        <w:t>ESG intensity outcomes</w:t>
      </w:r>
    </w:p>
    <w:p>
      <w:pPr>
        <w:pStyle w:val="ListBullet"/>
        <w:spacing w:after="60"/>
      </w:pPr>
      <w:r>
        <w:rPr>
          <w:sz w:val="20"/>
        </w:rPr>
        <w:t>Peers report actual outcomes such as carbon and water intensity per carat, tailings compliance and rehabilitation progress, measured against their own targets.</w:t>
      </w:r>
    </w:p>
    <w:p>
      <w:pPr>
        <w:pStyle w:val="ListBullet"/>
        <w:spacing w:after="60"/>
      </w:pPr>
      <w:r>
        <w:rPr>
          <w:sz w:val="20"/>
        </w:rPr>
        <w:t>Diamante has a 35–40% Scope 1 and 2 reduction roadmap but rewards an external reporting award instead of the real outcomes, which is a greenwashing risk and is misaligned with its own strategy.</w:t>
      </w:r>
    </w:p>
    <w:p>
      <w:pPr>
        <w:spacing w:before="100" w:after="20"/>
      </w:pPr>
      <w:r>
        <w:rPr>
          <w:b/>
          <w:color w:val="1F3D6B"/>
          <w:sz w:val="22"/>
        </w:rPr>
        <w:t>Reserves and life-of-mine</w:t>
      </w:r>
    </w:p>
    <w:p>
      <w:pPr>
        <w:pStyle w:val="ListBullet"/>
        <w:spacing w:after="60"/>
      </w:pPr>
      <w:r>
        <w:rPr>
          <w:sz w:val="20"/>
        </w:rPr>
        <w:t>A reserve and life-of-mine KPI is standard, because a miner’s long-term value is its remaining resource.</w:t>
      </w:r>
    </w:p>
    <w:p>
      <w:pPr>
        <w:pStyle w:val="ListBullet"/>
        <w:spacing w:after="60"/>
      </w:pPr>
      <w:r>
        <w:rPr>
          <w:sz w:val="20"/>
        </w:rPr>
        <w:t>This is directly relevant to Diamante, because the board has identified the "life of mines" and which capital projects to prioritise as a key focus.</w:t>
      </w:r>
    </w:p>
    <w:p>
      <w:pPr>
        <w:pStyle w:val="ListBullet"/>
        <w:spacing w:after="60"/>
      </w:pPr>
      <w:r>
        <w:rPr>
          <w:sz w:val="20"/>
        </w:rPr>
        <w:t>Such a KPI would also counter the risk that the value KPI encourages high-grading and the sterilisation of lower-grade ore.</w:t>
      </w:r>
    </w:p>
    <w:p>
      <w:pPr>
        <w:spacing w:before="100" w:after="20"/>
      </w:pPr>
      <w:r>
        <w:rPr>
          <w:b/>
          <w:color w:val="1F3D6B"/>
          <w:sz w:val="22"/>
        </w:rPr>
        <w:t>Relative Total Shareholder Return</w:t>
      </w:r>
    </w:p>
    <w:p>
      <w:pPr>
        <w:pStyle w:val="ListBullet"/>
        <w:spacing w:after="60"/>
      </w:pPr>
      <w:r>
        <w:rPr>
          <w:sz w:val="20"/>
        </w:rPr>
        <w:t>Relative Total Shareholder Return is the standard long-term-incentive measure for listed miners, because it aligns pay with the actual return delivered to shareholders over time.</w:t>
      </w:r>
    </w:p>
    <w:p>
      <w:pPr>
        <w:pStyle w:val="ListBullet"/>
        <w:spacing w:after="60"/>
      </w:pPr>
      <w:r>
        <w:rPr>
          <w:sz w:val="20"/>
        </w:rPr>
        <w:t>Measuring it relative to peers, such as Petra and Gem Diamonds, strips out the diamond price cycle that management cannot control.</w:t>
      </w:r>
    </w:p>
    <w:p>
      <w:pPr>
        <w:pStyle w:val="ListBullet"/>
        <w:spacing w:after="60"/>
      </w:pPr>
      <w:r>
        <w:rPr>
          <w:sz w:val="20"/>
        </w:rPr>
        <w:t>It would be a far better basis for a share-based long-term scheme than the annual, gameable KPIs currently proposed.</w:t>
      </w:r>
    </w:p>
    <w:p>
      <w:pPr>
        <w:spacing w:before="18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4. Bringing it together for the incentive scheme</w:t>
      </w:r>
    </w:p>
    <w:p>
      <w:pPr>
        <w:pStyle w:val="ListBullet"/>
        <w:spacing w:after="60"/>
      </w:pPr>
      <w:r>
        <w:rPr>
          <w:sz w:val="20"/>
        </w:rPr>
        <w:t>Taken together, the calculations show a loss-making, highly geared business whose survival depends on cash and refinancing, so the measures that matter most are cash, net debt, unit cost, realised value, safety and real ESG outcomes.</w:t>
      </w:r>
    </w:p>
    <w:p>
      <w:pPr>
        <w:pStyle w:val="ListBullet"/>
        <w:spacing w:after="60"/>
      </w:pPr>
      <w:r>
        <w:rPr>
          <w:sz w:val="20"/>
        </w:rPr>
        <w:t>These are precisely the industry-standard KPIs that Diamante does not use, while the KPIs it does use are largely uncontrollable, unachievable or gameable.</w:t>
      </w:r>
    </w:p>
    <w:p>
      <w:pPr>
        <w:pStyle w:val="ListBullet"/>
        <w:spacing w:after="60"/>
      </w:pPr>
      <w:r>
        <w:rPr>
          <w:sz w:val="20"/>
        </w:rPr>
        <w:t>The incentive scheme should therefore be rebuilt on this industry-standard set, tiered by responsibility, measured per mine where possible, and market-adjusted against peers, with the detailed redesign set out in the companion Document 5 evaluation.</w:t>
      </w:r>
    </w:p>
    <w:p>
      <w:pPr>
        <w:pStyle w:val="ListBullet"/>
        <w:spacing w:after="60"/>
      </w:pPr>
      <w:r>
        <w:rPr>
          <w:sz w:val="20"/>
        </w:rPr>
        <w:t>Diamante should also begin disclosing the operating, safety and ESG-intensity metrics that its listed peers report, because without that data neither management nor investors can measure the performance that truly drives value.</w:t>
      </w:r>
    </w:p>
    <w:p>
      <w:pPr>
        <w:spacing w:after="80"/>
      </w:pPr>
      <w:r>
        <w:rPr>
          <w:b w:val="0"/>
          <w:i/>
          <w:sz w:val="17"/>
        </w:rPr>
        <w:t>Figures are calculated from the Diamante draft FY2026 pre-release financials; per-carat, safety and ESG-intensity measures require production data that is not disclosed and should be requested.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