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D6B"/>
          <w:sz w:val="28"/>
        </w:rPr>
        <w:t>Diamante Ltd — Document 5: Triggers, IFRS 2, KPI Evaluation &amp; Non-financial KPIs</w:t>
      </w:r>
    </w:p>
    <w:p>
      <w:pPr>
        <w:spacing w:after="80"/>
      </w:pPr>
      <w:r>
        <w:rPr>
          <w:i/>
          <w:sz w:val="18"/>
        </w:rPr>
        <w:t>APC 2026 (1st Qualifying Exam) pre-release. This note identifies the triggers in Document 5 and works through them: the IFRS 2 accounting for the share-based payment (recognition, measurement, subsequent measurement, a worked example and a discussion), a critical evaluation of each of the five KPIs, an evaluation of Lavashni’s understanding of each KPI, a set of non-financial KPIs applied to Diamante, and the ethics and governance points. Amounts are in R millions unless stated.</w:t>
      </w:r>
    </w:p>
    <w:p>
      <w:pPr>
        <w:spacing w:before="200" w:after="40"/>
        <w:pBdr>
          <w:bottom w:val="single" w:sz="6" w:space="2" w:color="808080"/>
        </w:pBdr>
      </w:pPr>
      <w:r>
        <w:rPr>
          <w:b/>
          <w:color w:val="1F3D6B"/>
          <w:sz w:val="26"/>
        </w:rPr>
        <w:t>1. Triggers in Document 5</w:t>
      </w:r>
    </w:p>
    <w:tbl>
      <w:tblPr>
        <w:tblStyle w:val="TableGrid"/>
        <w:tblW w:type="auto" w:w="0"/>
        <w:jc w:val="center"/>
        <w:tblLook w:firstColumn="1" w:firstRow="1" w:lastColumn="0" w:lastRow="0" w:noHBand="0" w:noVBand="1" w:val="04A0"/>
      </w:tblPr>
      <w:tblGrid>
        <w:gridCol w:w="5328"/>
        <w:gridCol w:w="5328"/>
      </w:tblGrid>
      <w:tr>
        <w:tc>
          <w:tcPr>
            <w:tcW w:type="dxa" w:w="7776"/>
            <w:shd w:val="clear" w:fill="1f3d6b"/>
          </w:tcPr>
          <w:p>
            <w:r/>
            <w:r>
              <w:rPr>
                <w:b/>
                <w:color w:val="FFFFFF"/>
                <w:sz w:val="17"/>
              </w:rPr>
              <w:t>Trigger</w:t>
            </w:r>
          </w:p>
        </w:tc>
        <w:tc>
          <w:tcPr>
            <w:tcW w:type="dxa" w:w="2592"/>
            <w:shd w:val="clear" w:fill="1f3d6b"/>
          </w:tcPr>
          <w:p>
            <w:r/>
            <w:r>
              <w:rPr>
                <w:b/>
                <w:color w:val="FFFFFF"/>
                <w:sz w:val="17"/>
              </w:rPr>
              <w:t>Competency area</w:t>
            </w:r>
          </w:p>
        </w:tc>
      </w:tr>
      <w:tr>
        <w:tc>
          <w:tcPr>
            <w:tcW w:type="dxa" w:w="7776"/>
          </w:tcPr>
          <w:p>
            <w:r/>
            <w:r>
              <w:rPr>
                <w:sz w:val="17"/>
              </w:rPr>
              <w:t>A new long-term incentive scheme is proposed for management.</w:t>
            </w:r>
          </w:p>
        </w:tc>
        <w:tc>
          <w:tcPr>
            <w:tcW w:type="dxa" w:w="2592"/>
          </w:tcPr>
          <w:p>
            <w:r/>
            <w:r>
              <w:rPr>
                <w:sz w:val="17"/>
              </w:rPr>
              <w:t>Strategy / MDMC</w:t>
            </w:r>
          </w:p>
        </w:tc>
      </w:tr>
      <w:tr>
        <w:tc>
          <w:tcPr>
            <w:tcW w:type="dxa" w:w="7776"/>
          </w:tcPr>
          <w:p>
            <w:r/>
            <w:r>
              <w:rPr>
                <w:sz w:val="17"/>
              </w:rPr>
              <w:t>The bonus is a share-based payment (shares worth 3–5× salary, vesting over three years).</w:t>
            </w:r>
          </w:p>
        </w:tc>
        <w:tc>
          <w:tcPr>
            <w:tcW w:type="dxa" w:w="2592"/>
          </w:tcPr>
          <w:p>
            <w:r/>
            <w:r>
              <w:rPr>
                <w:sz w:val="17"/>
              </w:rPr>
              <w:t>Financial reporting (IFRS 2)</w:t>
            </w:r>
          </w:p>
        </w:tc>
      </w:tr>
      <w:tr>
        <w:tc>
          <w:tcPr>
            <w:tcW w:type="dxa" w:w="7776"/>
          </w:tcPr>
          <w:p>
            <w:r/>
            <w:r>
              <w:rPr>
                <w:sz w:val="17"/>
              </w:rPr>
              <w:t>Five key performance indicators are used to determine vesting.</w:t>
            </w:r>
          </w:p>
        </w:tc>
        <w:tc>
          <w:tcPr>
            <w:tcW w:type="dxa" w:w="2592"/>
          </w:tcPr>
          <w:p>
            <w:r/>
            <w:r>
              <w:rPr>
                <w:sz w:val="17"/>
              </w:rPr>
              <w:t>MDMC (performance measurement)</w:t>
            </w:r>
          </w:p>
        </w:tc>
      </w:tr>
      <w:tr>
        <w:tc>
          <w:tcPr>
            <w:tcW w:type="dxa" w:w="7776"/>
          </w:tcPr>
          <w:p>
            <w:r/>
            <w:r>
              <w:rPr>
                <w:sz w:val="17"/>
              </w:rPr>
              <w:t>Lavashni sets out her own understanding of what each KPI is for.</w:t>
            </w:r>
          </w:p>
        </w:tc>
        <w:tc>
          <w:tcPr>
            <w:tcW w:type="dxa" w:w="2592"/>
          </w:tcPr>
          <w:p>
            <w:r/>
            <w:r>
              <w:rPr>
                <w:sz w:val="17"/>
              </w:rPr>
              <w:t>Pervasive (critical evaluation)</w:t>
            </w:r>
          </w:p>
        </w:tc>
      </w:tr>
      <w:tr>
        <w:tc>
          <w:tcPr>
            <w:tcW w:type="dxa" w:w="7776"/>
          </w:tcPr>
          <w:p>
            <w:r/>
            <w:r>
              <w:rPr>
                <w:sz w:val="17"/>
              </w:rPr>
              <w:t>Bonuses were paused for all other staff, but management could still receive large awards.</w:t>
            </w:r>
          </w:p>
        </w:tc>
        <w:tc>
          <w:tcPr>
            <w:tcW w:type="dxa" w:w="2592"/>
          </w:tcPr>
          <w:p>
            <w:r/>
            <w:r>
              <w:rPr>
                <w:sz w:val="17"/>
              </w:rPr>
              <w:t>Ethics / Governance</w:t>
            </w:r>
          </w:p>
        </w:tc>
      </w:tr>
      <w:tr>
        <w:tc>
          <w:tcPr>
            <w:tcW w:type="dxa" w:w="7776"/>
          </w:tcPr>
          <w:p>
            <w:r/>
            <w:r>
              <w:rPr>
                <w:sz w:val="17"/>
              </w:rPr>
              <w:t>The award is in shares (dilutive) while the company is planning a rights issue.</w:t>
            </w:r>
          </w:p>
        </w:tc>
        <w:tc>
          <w:tcPr>
            <w:tcW w:type="dxa" w:w="2592"/>
          </w:tcPr>
          <w:p>
            <w:r/>
            <w:r>
              <w:rPr>
                <w:sz w:val="17"/>
              </w:rPr>
              <w:t>Ethics / Financial</w:t>
            </w:r>
          </w:p>
        </w:tc>
      </w:tr>
      <w:tr>
        <w:tc>
          <w:tcPr>
            <w:tcW w:type="dxa" w:w="7776"/>
          </w:tcPr>
          <w:p>
            <w:r/>
            <w:r>
              <w:rPr>
                <w:sz w:val="17"/>
              </w:rPr>
              <w:t>There was shareholder dissent about remuneration at the AGM.</w:t>
            </w:r>
          </w:p>
        </w:tc>
        <w:tc>
          <w:tcPr>
            <w:tcW w:type="dxa" w:w="2592"/>
          </w:tcPr>
          <w:p>
            <w:r/>
            <w:r>
              <w:rPr>
                <w:sz w:val="17"/>
              </w:rPr>
              <w:t>Governance (King IV P14)</w:t>
            </w:r>
          </w:p>
        </w:tc>
      </w:tr>
      <w:tr>
        <w:tc>
          <w:tcPr>
            <w:tcW w:type="dxa" w:w="7776"/>
          </w:tcPr>
          <w:p>
            <w:r/>
            <w:r>
              <w:rPr>
                <w:sz w:val="17"/>
              </w:rPr>
              <w:t>Lavashni is newly appointed, chairs the remuneration committee, did not attend the AGM, and is on leave.</w:t>
            </w:r>
          </w:p>
        </w:tc>
        <w:tc>
          <w:tcPr>
            <w:tcW w:type="dxa" w:w="2592"/>
          </w:tcPr>
          <w:p>
            <w:r/>
            <w:r>
              <w:rPr>
                <w:sz w:val="17"/>
              </w:rPr>
              <w:t>Governance / Ethics (competence, independence, availability)</w:t>
            </w:r>
          </w:p>
        </w:tc>
      </w:tr>
      <w:tr>
        <w:tc>
          <w:tcPr>
            <w:tcW w:type="dxa" w:w="7776"/>
          </w:tcPr>
          <w:p>
            <w:r/>
            <w:r>
              <w:rPr>
                <w:sz w:val="17"/>
              </w:rPr>
              <w:t>The scheme sits against a loss-making, going-concern and refinancing backdrop.</w:t>
            </w:r>
          </w:p>
        </w:tc>
        <w:tc>
          <w:tcPr>
            <w:tcW w:type="dxa" w:w="2592"/>
          </w:tcPr>
          <w:p>
            <w:r/>
            <w:r>
              <w:rPr>
                <w:sz w:val="17"/>
              </w:rPr>
              <w:t>Pervasive (going concern)</w:t>
            </w:r>
          </w:p>
        </w:tc>
      </w:tr>
      <w:tr>
        <w:tc>
          <w:tcPr>
            <w:tcW w:type="dxa" w:w="7776"/>
          </w:tcPr>
          <w:p>
            <w:r/>
            <w:r>
              <w:rPr>
                <w:sz w:val="17"/>
              </w:rPr>
              <w:t>A share scheme has employees’ tax and deferred-tax consequences.</w:t>
            </w:r>
          </w:p>
        </w:tc>
        <w:tc>
          <w:tcPr>
            <w:tcW w:type="dxa" w:w="2592"/>
          </w:tcPr>
          <w:p>
            <w:r/>
            <w:r>
              <w:rPr>
                <w:sz w:val="17"/>
              </w:rPr>
              <w:t>Tax / FR</w:t>
            </w:r>
          </w:p>
        </w:tc>
      </w:tr>
    </w:tbl>
    <w:p>
      <w:pPr>
        <w:spacing w:before="200" w:after="40"/>
        <w:pBdr>
          <w:bottom w:val="single" w:sz="6" w:space="2" w:color="808080"/>
        </w:pBdr>
      </w:pPr>
      <w:r>
        <w:rPr>
          <w:b/>
          <w:color w:val="1F3D6B"/>
          <w:sz w:val="26"/>
        </w:rPr>
        <w:t>2. IFRS 2 — accounting for the share-based payment</w:t>
      </w:r>
    </w:p>
    <w:p>
      <w:pPr>
        <w:spacing w:before="120" w:after="20"/>
      </w:pPr>
      <w:r>
        <w:rPr>
          <w:b/>
          <w:color w:val="1F3D6B"/>
          <w:sz w:val="22"/>
        </w:rPr>
        <w:t>2.1 The arrangement</w:t>
      </w:r>
    </w:p>
    <w:p>
      <w:pPr>
        <w:pStyle w:val="ListBullet"/>
        <w:spacing w:after="60"/>
      </w:pPr>
      <w:r>
        <w:rPr>
          <w:sz w:val="20"/>
        </w:rPr>
        <w:t>Management will receive Diamante shares as a bonus, worth between three and five times their annual salary.</w:t>
      </w:r>
    </w:p>
    <w:p>
      <w:pPr>
        <w:pStyle w:val="ListBullet"/>
        <w:spacing w:after="60"/>
      </w:pPr>
      <w:r>
        <w:rPr>
          <w:sz w:val="20"/>
        </w:rPr>
        <w:t>The number of shares is only fixed on the vesting date, using the share price on that date.</w:t>
      </w:r>
    </w:p>
    <w:p>
      <w:pPr>
        <w:pStyle w:val="ListBullet"/>
        <w:spacing w:after="60"/>
      </w:pPr>
      <w:r>
        <w:rPr>
          <w:sz w:val="20"/>
        </w:rPr>
        <w:t>The award vests annually over three years, and only if the key performance targets are met.</w:t>
      </w:r>
    </w:p>
    <w:p>
      <w:pPr>
        <w:spacing w:before="120" w:after="20"/>
      </w:pPr>
      <w:r>
        <w:rPr>
          <w:b/>
          <w:color w:val="1F3D6B"/>
          <w:sz w:val="22"/>
        </w:rPr>
        <w:t>2.2 Classification (equity-settled or cash-settled)</w:t>
      </w:r>
    </w:p>
    <w:p>
      <w:pPr>
        <w:pStyle w:val="ListBullet"/>
        <w:spacing w:after="60"/>
      </w:pPr>
      <w:r>
        <w:rPr>
          <w:sz w:val="20"/>
        </w:rPr>
        <w:t>The award is settled by delivering Diamante’s own shares, so in form it is an equity-settled share-based payment.</w:t>
      </w:r>
    </w:p>
    <w:p>
      <w:pPr>
        <w:pStyle w:val="ListBullet"/>
        <w:spacing w:after="60"/>
      </w:pPr>
      <w:r>
        <w:rPr>
          <w:sz w:val="20"/>
        </w:rPr>
        <w:t>However, the number of shares is set at vesting to give a fixed rand value, which is a fixed monetary amount delivered in a variable number of shares.</w:t>
      </w:r>
    </w:p>
    <w:p>
      <w:pPr>
        <w:pStyle w:val="ListBullet"/>
        <w:spacing w:after="60"/>
      </w:pPr>
      <w:r>
        <w:rPr>
          <w:sz w:val="20"/>
        </w:rPr>
        <w:t>This feature has the economic character of a liability, so the exact terms should be confirmed with management.</w:t>
      </w:r>
    </w:p>
    <w:p>
      <w:pPr>
        <w:pStyle w:val="ListBullet"/>
        <w:spacing w:after="60"/>
      </w:pPr>
      <w:r>
        <w:rPr>
          <w:sz w:val="20"/>
        </w:rPr>
        <w:t>If there were any obligation or intention to settle in cash, the award would instead be cash-settled and would be remeasured to fair value each period.</w:t>
      </w:r>
    </w:p>
    <w:p>
      <w:pPr>
        <w:pStyle w:val="ListBullet"/>
        <w:spacing w:after="60"/>
      </w:pPr>
      <w:r>
        <w:rPr>
          <w:sz w:val="20"/>
        </w:rPr>
        <w:t>On the information given, it is treated as equity-settled, because settlement is in the entity’s own equity instruments.</w:t>
      </w:r>
    </w:p>
    <w:p>
      <w:pPr>
        <w:spacing w:before="120" w:after="20"/>
      </w:pPr>
      <w:r>
        <w:rPr>
          <w:b/>
          <w:color w:val="1F3D6B"/>
          <w:sz w:val="22"/>
        </w:rPr>
        <w:t>2.3 Initial recognition</w:t>
      </w:r>
    </w:p>
    <w:p>
      <w:pPr>
        <w:pStyle w:val="ListBullet"/>
        <w:spacing w:after="60"/>
      </w:pPr>
      <w:r>
        <w:rPr>
          <w:sz w:val="20"/>
        </w:rPr>
        <w:t>The expense is recognised over the three-year vesting period as the employees render service.</w:t>
      </w:r>
    </w:p>
    <w:p>
      <w:pPr>
        <w:pStyle w:val="ListBullet"/>
        <w:spacing w:after="60"/>
      </w:pPr>
      <w:r>
        <w:rPr>
          <w:sz w:val="20"/>
        </w:rPr>
        <w:t>Recognition begins at grant date, which is when Diamante and the managers have a shared understanding of the terms and conditions.</w:t>
      </w:r>
    </w:p>
    <w:p>
      <w:pPr>
        <w:pStyle w:val="ListBullet"/>
        <w:spacing w:after="60"/>
      </w:pPr>
      <w:r>
        <w:rPr>
          <w:sz w:val="20"/>
        </w:rPr>
        <w:t>Because the scheme is currently only proposed and being confirmed, grant date may not yet have occurred, in which case no expense is recognised until it is approved and communicated.</w:t>
      </w:r>
    </w:p>
    <w:p>
      <w:pPr>
        <w:pStyle w:val="ListBullet"/>
        <w:spacing w:after="60"/>
      </w:pPr>
      <w:r>
        <w:rPr>
          <w:sz w:val="20"/>
        </w:rPr>
        <w:t>The double entry for an equity-settled award is to debit the employee benefits expense in profit or loss and credit a share-based payment reserve in equity.</w:t>
      </w:r>
    </w:p>
    <w:p>
      <w:pPr>
        <w:spacing w:before="120" w:after="20"/>
      </w:pPr>
      <w:r>
        <w:rPr>
          <w:b/>
          <w:color w:val="1F3D6B"/>
          <w:sz w:val="22"/>
        </w:rPr>
        <w:t>2.4 Initial measurement</w:t>
      </w:r>
    </w:p>
    <w:p>
      <w:pPr>
        <w:pStyle w:val="ListBullet"/>
        <w:spacing w:after="60"/>
      </w:pPr>
      <w:r>
        <w:rPr>
          <w:sz w:val="20"/>
        </w:rPr>
        <w:t>For an equity-settled award, the expense is measured at the grant-date fair value of the equity instruments granted.</w:t>
      </w:r>
    </w:p>
    <w:p>
      <w:pPr>
        <w:pStyle w:val="ListBullet"/>
        <w:spacing w:after="60"/>
      </w:pPr>
      <w:r>
        <w:rPr>
          <w:sz w:val="20"/>
        </w:rPr>
        <w:t>Because the number of shares is set at vesting to deliver a fixed rand value, the grant-date fair value of the award is effectively that fixed monetary amount.</w:t>
      </w:r>
    </w:p>
    <w:p>
      <w:pPr>
        <w:pStyle w:val="ListBullet"/>
        <w:spacing w:after="60"/>
      </w:pPr>
      <w:r>
        <w:rPr>
          <w:sz w:val="20"/>
        </w:rPr>
        <w:t>This grant-date fair value is not remeasured for later movements in the share price.</w:t>
      </w:r>
    </w:p>
    <w:p>
      <w:pPr>
        <w:spacing w:before="120" w:after="20"/>
      </w:pPr>
      <w:r>
        <w:rPr>
          <w:b/>
          <w:color w:val="1F3D6B"/>
          <w:sz w:val="22"/>
        </w:rPr>
        <w:t>2.5 Subsequent measurement</w:t>
      </w:r>
    </w:p>
    <w:p>
      <w:pPr>
        <w:pStyle w:val="ListBullet"/>
        <w:spacing w:after="60"/>
      </w:pPr>
      <w:r>
        <w:rPr>
          <w:sz w:val="20"/>
        </w:rPr>
        <w:t>An equity-settled award is not remeasured to fair value after grant date.</w:t>
      </w:r>
    </w:p>
    <w:p>
      <w:pPr>
        <w:pStyle w:val="ListBullet"/>
        <w:spacing w:after="60"/>
      </w:pPr>
      <w:r>
        <w:rPr>
          <w:sz w:val="20"/>
        </w:rPr>
        <w:t>The cumulative expense is, however, adjusted at each reporting date for the number of instruments expected to vest.</w:t>
      </w:r>
    </w:p>
    <w:p>
      <w:pPr>
        <w:pStyle w:val="ListBullet"/>
        <w:spacing w:after="60"/>
      </w:pPr>
      <w:r>
        <w:rPr>
          <w:sz w:val="20"/>
        </w:rPr>
        <w:t>That estimate is based on the service condition (managers remaining employed) and the non-market performance conditions (the five KPIs).</w:t>
      </w:r>
    </w:p>
    <w:p>
      <w:pPr>
        <w:pStyle w:val="ListBullet"/>
        <w:spacing w:after="60"/>
      </w:pPr>
      <w:r>
        <w:rPr>
          <w:sz w:val="20"/>
        </w:rPr>
        <w:t>If the KPIs are not expected to be met, the expected number vesting is reduced and the expense is trued up, and amounts recognised for tranches that ultimately do not vest are reversed.</w:t>
      </w:r>
    </w:p>
    <w:p>
      <w:pPr>
        <w:spacing w:before="120" w:after="20"/>
      </w:pPr>
      <w:r>
        <w:rPr>
          <w:b/>
          <w:color w:val="1F3D6B"/>
          <w:sz w:val="22"/>
        </w:rPr>
        <w:t>2.6 Classifying the vesting conditions</w:t>
      </w:r>
    </w:p>
    <w:tbl>
      <w:tblPr>
        <w:tblStyle w:val="TableGrid"/>
        <w:tblW w:type="auto" w:w="0"/>
        <w:jc w:val="center"/>
        <w:tblLook w:firstColumn="1" w:firstRow="1" w:lastColumn="0" w:lastRow="0" w:noHBand="0" w:noVBand="1" w:val="04A0"/>
      </w:tblPr>
      <w:tblGrid>
        <w:gridCol w:w="3552"/>
        <w:gridCol w:w="3552"/>
        <w:gridCol w:w="3552"/>
      </w:tblGrid>
      <w:tr>
        <w:tc>
          <w:tcPr>
            <w:tcW w:type="dxa" w:w="3456"/>
            <w:shd w:val="clear" w:fill="1f3d6b"/>
          </w:tcPr>
          <w:p>
            <w:r/>
            <w:r>
              <w:rPr>
                <w:b/>
                <w:color w:val="FFFFFF"/>
                <w:sz w:val="17"/>
              </w:rPr>
              <w:t>Condition</w:t>
            </w:r>
          </w:p>
        </w:tc>
        <w:tc>
          <w:tcPr>
            <w:tcW w:type="dxa" w:w="2880"/>
            <w:shd w:val="clear" w:fill="1f3d6b"/>
          </w:tcPr>
          <w:p>
            <w:r/>
            <w:r>
              <w:rPr>
                <w:b/>
                <w:color w:val="FFFFFF"/>
                <w:sz w:val="17"/>
              </w:rPr>
              <w:t>Type under IFRS 2</w:t>
            </w:r>
          </w:p>
        </w:tc>
        <w:tc>
          <w:tcPr>
            <w:tcW w:type="dxa" w:w="4032"/>
            <w:shd w:val="clear" w:fill="1f3d6b"/>
          </w:tcPr>
          <w:p>
            <w:r/>
            <w:r>
              <w:rPr>
                <w:b/>
                <w:color w:val="FFFFFF"/>
                <w:sz w:val="17"/>
              </w:rPr>
              <w:t>Treatment</w:t>
            </w:r>
          </w:p>
        </w:tc>
      </w:tr>
      <w:tr>
        <w:tc>
          <w:tcPr>
            <w:tcW w:type="dxa" w:w="3456"/>
          </w:tcPr>
          <w:p>
            <w:r/>
            <w:r>
              <w:rPr>
                <w:sz w:val="17"/>
              </w:rPr>
              <w:t>Remain employed over three years</w:t>
            </w:r>
          </w:p>
        </w:tc>
        <w:tc>
          <w:tcPr>
            <w:tcW w:type="dxa" w:w="2880"/>
          </w:tcPr>
          <w:p>
            <w:r/>
            <w:r>
              <w:rPr>
                <w:sz w:val="17"/>
              </w:rPr>
              <w:t>Service condition</w:t>
            </w:r>
          </w:p>
        </w:tc>
        <w:tc>
          <w:tcPr>
            <w:tcW w:type="dxa" w:w="4032"/>
          </w:tcPr>
          <w:p>
            <w:r/>
            <w:r>
              <w:rPr>
                <w:sz w:val="17"/>
              </w:rPr>
              <w:t>Affects the number expected to vest; trued up to actual</w:t>
            </w:r>
          </w:p>
        </w:tc>
      </w:tr>
      <w:tr>
        <w:tc>
          <w:tcPr>
            <w:tcW w:type="dxa" w:w="3456"/>
          </w:tcPr>
          <w:p>
            <w:r/>
            <w:r>
              <w:rPr>
                <w:sz w:val="17"/>
              </w:rPr>
              <w:t>KPIs 1–4 (cost, profit, high-value %, inventory)</w:t>
            </w:r>
          </w:p>
        </w:tc>
        <w:tc>
          <w:tcPr>
            <w:tcW w:type="dxa" w:w="2880"/>
          </w:tcPr>
          <w:p>
            <w:r/>
            <w:r>
              <w:rPr>
                <w:sz w:val="17"/>
              </w:rPr>
              <w:t>Non-market performance conditions</w:t>
            </w:r>
          </w:p>
        </w:tc>
        <w:tc>
          <w:tcPr>
            <w:tcW w:type="dxa" w:w="4032"/>
          </w:tcPr>
          <w:p>
            <w:r/>
            <w:r>
              <w:rPr>
                <w:sz w:val="17"/>
              </w:rPr>
              <w:t>Affect the number expected to vest; estimate probability and true up</w:t>
            </w:r>
          </w:p>
        </w:tc>
      </w:tr>
      <w:tr>
        <w:tc>
          <w:tcPr>
            <w:tcW w:type="dxa" w:w="3456"/>
          </w:tcPr>
          <w:p>
            <w:r/>
            <w:r>
              <w:rPr>
                <w:sz w:val="17"/>
              </w:rPr>
              <w:t>KPI 5 (EY reporting rating)</w:t>
            </w:r>
          </w:p>
        </w:tc>
        <w:tc>
          <w:tcPr>
            <w:tcW w:type="dxa" w:w="2880"/>
          </w:tcPr>
          <w:p>
            <w:r/>
            <w:r>
              <w:rPr>
                <w:sz w:val="17"/>
              </w:rPr>
              <w:t>Non-market performance condition</w:t>
            </w:r>
          </w:p>
        </w:tc>
        <w:tc>
          <w:tcPr>
            <w:tcW w:type="dxa" w:w="4032"/>
          </w:tcPr>
          <w:p>
            <w:r/>
            <w:r>
              <w:rPr>
                <w:sz w:val="17"/>
              </w:rPr>
              <w:t>As above</w:t>
            </w:r>
          </w:p>
        </w:tc>
      </w:tr>
      <w:tr>
        <w:tc>
          <w:tcPr>
            <w:tcW w:type="dxa" w:w="3456"/>
          </w:tcPr>
          <w:p>
            <w:r/>
            <w:r>
              <w:rPr>
                <w:sz w:val="17"/>
              </w:rPr>
              <w:t>Share price at vesting (sets the number of shares)</w:t>
            </w:r>
          </w:p>
        </w:tc>
        <w:tc>
          <w:tcPr>
            <w:tcW w:type="dxa" w:w="2880"/>
          </w:tcPr>
          <w:p>
            <w:r/>
            <w:r>
              <w:rPr>
                <w:sz w:val="17"/>
              </w:rPr>
              <w:t>Not a vesting condition</w:t>
            </w:r>
          </w:p>
        </w:tc>
        <w:tc>
          <w:tcPr>
            <w:tcW w:type="dxa" w:w="4032"/>
          </w:tcPr>
          <w:p>
            <w:r/>
            <w:r>
              <w:rPr>
                <w:sz w:val="17"/>
              </w:rPr>
              <w:t>It is only the settlement mechanic, so it does not change the grant-date fair value</w:t>
            </w:r>
          </w:p>
        </w:tc>
      </w:tr>
    </w:tbl>
    <w:p>
      <w:pPr>
        <w:spacing w:before="120" w:after="20"/>
      </w:pPr>
      <w:r>
        <w:rPr>
          <w:b/>
          <w:color w:val="1F3D6B"/>
          <w:sz w:val="22"/>
        </w:rPr>
        <w:t>2.7 Illustrative worked calculation (assumed figures — actual salary and fair value to be obtained)</w:t>
      </w:r>
    </w:p>
    <w:p>
      <w:pPr>
        <w:spacing w:after="80"/>
      </w:pPr>
      <w:r>
        <w:rPr>
          <w:i w:val="0"/>
          <w:sz w:val="18"/>
        </w:rPr>
        <w:t>Assume the eligible management group has a total annual salary of R40m, that the multiple is four times, giving a total award value of R160m, and that the award vests evenly over three years. The grant-date fair value is taken as R160m and the expected proportion vesting is revised each year because some KPIs are hard to meet.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720"/>
            <w:shd w:val="clear" w:fill="1f3d6b"/>
          </w:tcPr>
          <w:p>
            <w:r/>
            <w:r>
              <w:rPr>
                <w:b/>
                <w:color w:val="FFFFFF"/>
                <w:sz w:val="17"/>
              </w:rPr>
              <w:t>Year</w:t>
            </w:r>
          </w:p>
        </w:tc>
        <w:tc>
          <w:tcPr>
            <w:tcW w:type="dxa" w:w="2448"/>
            <w:shd w:val="clear" w:fill="1f3d6b"/>
          </w:tcPr>
          <w:p>
            <w:r/>
            <w:r>
              <w:rPr>
                <w:b/>
                <w:color w:val="FFFFFF"/>
                <w:sz w:val="17"/>
              </w:rPr>
              <w:t>Estimated % vesting</w:t>
            </w:r>
          </w:p>
        </w:tc>
        <w:tc>
          <w:tcPr>
            <w:tcW w:type="dxa" w:w="2736"/>
            <w:shd w:val="clear" w:fill="1f3d6b"/>
          </w:tcPr>
          <w:p>
            <w:r/>
            <w:r>
              <w:rPr>
                <w:b/>
                <w:color w:val="FFFFFF"/>
                <w:sz w:val="17"/>
              </w:rPr>
              <w:t>Cumulative expense (working)</w:t>
            </w:r>
          </w:p>
        </w:tc>
        <w:tc>
          <w:tcPr>
            <w:tcW w:type="dxa" w:w="1584"/>
            <w:shd w:val="clear" w:fill="1f3d6b"/>
          </w:tcPr>
          <w:p>
            <w:r/>
            <w:r>
              <w:rPr>
                <w:b/>
                <w:color w:val="FFFFFF"/>
                <w:sz w:val="17"/>
              </w:rPr>
              <w:t>Expense for the year</w:t>
            </w:r>
          </w:p>
        </w:tc>
        <w:tc>
          <w:tcPr>
            <w:tcW w:type="dxa" w:w="2880"/>
            <w:shd w:val="clear" w:fill="1f3d6b"/>
          </w:tcPr>
          <w:p>
            <w:r/>
            <w:r>
              <w:rPr>
                <w:b/>
                <w:color w:val="FFFFFF"/>
                <w:sz w:val="17"/>
              </w:rPr>
              <w:t>Journal</w:t>
            </w:r>
          </w:p>
        </w:tc>
      </w:tr>
      <w:tr>
        <w:tc>
          <w:tcPr>
            <w:tcW w:type="dxa" w:w="720"/>
          </w:tcPr>
          <w:p>
            <w:r/>
            <w:r>
              <w:rPr>
                <w:sz w:val="17"/>
              </w:rPr>
              <w:t>1</w:t>
            </w:r>
          </w:p>
        </w:tc>
        <w:tc>
          <w:tcPr>
            <w:tcW w:type="dxa" w:w="2448"/>
          </w:tcPr>
          <w:p>
            <w:r/>
            <w:r>
              <w:rPr>
                <w:sz w:val="17"/>
              </w:rPr>
              <w:t>70%</w:t>
            </w:r>
          </w:p>
        </w:tc>
        <w:tc>
          <w:tcPr>
            <w:tcW w:type="dxa" w:w="2736"/>
          </w:tcPr>
          <w:p>
            <w:r/>
            <w:r>
              <w:rPr>
                <w:sz w:val="17"/>
              </w:rPr>
              <w:t>R160m × 1/3 × 70% = R37.3m</w:t>
            </w:r>
          </w:p>
        </w:tc>
        <w:tc>
          <w:tcPr>
            <w:tcW w:type="dxa" w:w="1584"/>
          </w:tcPr>
          <w:p>
            <w:r/>
            <w:r>
              <w:rPr>
                <w:sz w:val="17"/>
              </w:rPr>
              <w:t>R37.3m</w:t>
            </w:r>
          </w:p>
        </w:tc>
        <w:tc>
          <w:tcPr>
            <w:tcW w:type="dxa" w:w="2880"/>
          </w:tcPr>
          <w:p>
            <w:r/>
            <w:r>
              <w:rPr>
                <w:sz w:val="17"/>
              </w:rPr>
              <w:t>Dr Employee expense R37.3m; Cr SBP reserve (equity) R37.3m</w:t>
            </w:r>
          </w:p>
        </w:tc>
      </w:tr>
      <w:tr>
        <w:tc>
          <w:tcPr>
            <w:tcW w:type="dxa" w:w="720"/>
          </w:tcPr>
          <w:p>
            <w:r/>
            <w:r>
              <w:rPr>
                <w:sz w:val="17"/>
              </w:rPr>
              <w:t>2</w:t>
            </w:r>
          </w:p>
        </w:tc>
        <w:tc>
          <w:tcPr>
            <w:tcW w:type="dxa" w:w="2448"/>
          </w:tcPr>
          <w:p>
            <w:r/>
            <w:r>
              <w:rPr>
                <w:sz w:val="17"/>
              </w:rPr>
              <w:t>40% (KPI 2 clearly not met)</w:t>
            </w:r>
          </w:p>
        </w:tc>
        <w:tc>
          <w:tcPr>
            <w:tcW w:type="dxa" w:w="2736"/>
          </w:tcPr>
          <w:p>
            <w:r/>
            <w:r>
              <w:rPr>
                <w:sz w:val="17"/>
              </w:rPr>
              <w:t>R160m × 2/3 × 40% = R42.7m</w:t>
            </w:r>
          </w:p>
        </w:tc>
        <w:tc>
          <w:tcPr>
            <w:tcW w:type="dxa" w:w="1584"/>
          </w:tcPr>
          <w:p>
            <w:r/>
            <w:r>
              <w:rPr>
                <w:sz w:val="17"/>
              </w:rPr>
              <w:t>R5.4m</w:t>
            </w:r>
          </w:p>
        </w:tc>
        <w:tc>
          <w:tcPr>
            <w:tcW w:type="dxa" w:w="2880"/>
          </w:tcPr>
          <w:p>
            <w:r/>
            <w:r>
              <w:rPr>
                <w:sz w:val="17"/>
              </w:rPr>
              <w:t>Dr Employee expense R5.4m; Cr SBP reserve R5.4m</w:t>
            </w:r>
          </w:p>
        </w:tc>
      </w:tr>
      <w:tr>
        <w:tc>
          <w:tcPr>
            <w:tcW w:type="dxa" w:w="720"/>
          </w:tcPr>
          <w:p>
            <w:r/>
            <w:r>
              <w:rPr>
                <w:sz w:val="17"/>
              </w:rPr>
              <w:t>3</w:t>
            </w:r>
          </w:p>
        </w:tc>
        <w:tc>
          <w:tcPr>
            <w:tcW w:type="dxa" w:w="2448"/>
          </w:tcPr>
          <w:p>
            <w:r/>
            <w:r>
              <w:rPr>
                <w:sz w:val="17"/>
              </w:rPr>
              <w:t>30% (actual outcome)</w:t>
            </w:r>
          </w:p>
        </w:tc>
        <w:tc>
          <w:tcPr>
            <w:tcW w:type="dxa" w:w="2736"/>
          </w:tcPr>
          <w:p>
            <w:r/>
            <w:r>
              <w:rPr>
                <w:sz w:val="17"/>
              </w:rPr>
              <w:t>R160m × 3/3 × 30% = R48.0m</w:t>
            </w:r>
          </w:p>
        </w:tc>
        <w:tc>
          <w:tcPr>
            <w:tcW w:type="dxa" w:w="1584"/>
          </w:tcPr>
          <w:p>
            <w:r/>
            <w:r>
              <w:rPr>
                <w:sz w:val="17"/>
              </w:rPr>
              <w:t>R5.3m</w:t>
            </w:r>
          </w:p>
        </w:tc>
        <w:tc>
          <w:tcPr>
            <w:tcW w:type="dxa" w:w="2880"/>
          </w:tcPr>
          <w:p>
            <w:r/>
            <w:r>
              <w:rPr>
                <w:sz w:val="17"/>
              </w:rPr>
              <w:t>Dr Employee expense R5.3m; Cr SBP reserve R5.3m</w:t>
            </w:r>
          </w:p>
        </w:tc>
      </w:tr>
    </w:tbl>
    <w:p>
      <w:pPr>
        <w:pStyle w:val="ListBullet"/>
        <w:spacing w:after="60"/>
      </w:pPr>
      <w:r>
        <w:rPr>
          <w:sz w:val="20"/>
        </w:rPr>
        <w:t>On vesting, the share-based payment reserve is transferred to share capital and share premium when the shares are issued.</w:t>
      </w:r>
    </w:p>
    <w:p>
      <w:pPr>
        <w:pStyle w:val="ListBullet"/>
        <w:spacing w:after="60"/>
      </w:pPr>
      <w:r>
        <w:rPr>
          <w:sz w:val="20"/>
        </w:rPr>
        <w:t>No cash flows out of the company, because the award is settled in shares rather than cash.</w:t>
      </w:r>
    </w:p>
    <w:p>
      <w:pPr>
        <w:pStyle w:val="ListBullet"/>
        <w:spacing w:after="60"/>
      </w:pPr>
      <w:r>
        <w:rPr>
          <w:sz w:val="20"/>
        </w:rPr>
        <w:t>This example also shows the "possible low value" point, because if the non-market KPIs are unlikely to be met the expected vesting falls and the cumulative expense falls towards nil.</w:t>
      </w:r>
    </w:p>
    <w:p>
      <w:pPr>
        <w:spacing w:before="120" w:after="20"/>
      </w:pPr>
      <w:r>
        <w:rPr>
          <w:b/>
          <w:color w:val="1F3D6B"/>
          <w:sz w:val="22"/>
        </w:rPr>
        <w:t>2.8 Deferred tax and employees’ tax</w:t>
      </w:r>
    </w:p>
    <w:p>
      <w:pPr>
        <w:pStyle w:val="ListBullet"/>
        <w:spacing w:after="60"/>
      </w:pPr>
      <w:r>
        <w:rPr>
          <w:sz w:val="20"/>
        </w:rPr>
        <w:t>For tax, the gain on the shares is likely taxed in the employees’ hands under section 8C when the restrictions lift, with employees’ tax (PAYE) withheld at that point.</w:t>
      </w:r>
    </w:p>
    <w:p>
      <w:pPr>
        <w:pStyle w:val="ListBullet"/>
        <w:spacing w:after="60"/>
      </w:pPr>
      <w:r>
        <w:rPr>
          <w:sz w:val="20"/>
        </w:rPr>
        <w:t>For accounting, a deferred tax asset may arise on the share-based payment where a future tax deduction is expected, measured on the intrinsic value and recognised partly in profit or loss and partly in equity.</w:t>
      </w:r>
    </w:p>
    <w:p>
      <w:pPr>
        <w:spacing w:before="120" w:after="20"/>
      </w:pPr>
      <w:r>
        <w:rPr>
          <w:b/>
          <w:color w:val="1F3D6B"/>
          <w:sz w:val="22"/>
        </w:rPr>
        <w:t>2.9 Disclosure</w:t>
      </w:r>
    </w:p>
    <w:p>
      <w:pPr>
        <w:pStyle w:val="ListBullet"/>
        <w:spacing w:after="60"/>
      </w:pPr>
      <w:r>
        <w:rPr>
          <w:sz w:val="20"/>
        </w:rPr>
        <w:t>IFRS 2 requires disclosure of the nature and terms of the scheme.</w:t>
      </w:r>
    </w:p>
    <w:p>
      <w:pPr>
        <w:pStyle w:val="ListBullet"/>
        <w:spacing w:after="60"/>
      </w:pPr>
      <w:r>
        <w:rPr>
          <w:sz w:val="20"/>
        </w:rPr>
        <w:t>It also requires the number of instruments and how their fair value was determined.</w:t>
      </w:r>
    </w:p>
    <w:p>
      <w:pPr>
        <w:pStyle w:val="ListBullet"/>
        <w:spacing w:after="60"/>
      </w:pPr>
      <w:r>
        <w:rPr>
          <w:sz w:val="20"/>
        </w:rPr>
        <w:t>It further requires the effect of the scheme on profit or loss and on financial position.</w:t>
      </w:r>
    </w:p>
    <w:p>
      <w:pPr>
        <w:pStyle w:val="ListBullet"/>
        <w:spacing w:after="60"/>
      </w:pPr>
      <w:r>
        <w:rPr>
          <w:sz w:val="20"/>
        </w:rPr>
        <w:t>These disclosures overlap with the King IV remuneration policy and implementation report that should go to shareholders.</w:t>
      </w:r>
    </w:p>
    <w:p>
      <w:pPr>
        <w:spacing w:before="120" w:after="20"/>
      </w:pPr>
      <w:r>
        <w:rPr>
          <w:b/>
          <w:color w:val="1F3D6B"/>
          <w:sz w:val="22"/>
        </w:rPr>
        <w:t>2.10 Discussion — is the share scheme appropriate for Diamante?</w:t>
      </w:r>
    </w:p>
    <w:p>
      <w:pPr>
        <w:pStyle w:val="ListBullet"/>
        <w:spacing w:after="60"/>
      </w:pPr>
      <w:r>
        <w:rPr>
          <w:sz w:val="20"/>
        </w:rPr>
        <w:t>The equity-settled form is sensible for cash reasons, because it rewards management without any cash outflow while liquidity is critical.</w:t>
      </w:r>
    </w:p>
    <w:p>
      <w:pPr>
        <w:pStyle w:val="ListBullet"/>
        <w:spacing w:after="60"/>
      </w:pPr>
      <w:r>
        <w:rPr>
          <w:sz w:val="20"/>
        </w:rPr>
        <w:t>However, it is dilutive, because issuing new shares reduces existing shareholders’ holdings at the same time as the company is asking those shareholders for a rights issue.</w:t>
      </w:r>
    </w:p>
    <w:p>
      <w:pPr>
        <w:pStyle w:val="ListBullet"/>
        <w:spacing w:after="60"/>
      </w:pPr>
      <w:r>
        <w:rPr>
          <w:sz w:val="20"/>
        </w:rPr>
        <w:t>It also increases the reported loss through the employee expense.</w:t>
      </w:r>
    </w:p>
    <w:p>
      <w:pPr>
        <w:pStyle w:val="ListBullet"/>
        <w:spacing w:after="60"/>
      </w:pPr>
      <w:r>
        <w:rPr>
          <w:sz w:val="20"/>
        </w:rPr>
        <w:t>If the KPIs are unachievable, the scheme produces little accounting expense but also fails to retain or motivate management, so it does not achieve its purpose.</w:t>
      </w:r>
    </w:p>
    <w:p>
      <w:pPr>
        <w:pStyle w:val="ListBullet"/>
        <w:spacing w:after="60"/>
      </w:pPr>
      <w:r>
        <w:rPr>
          <w:sz w:val="20"/>
        </w:rPr>
        <w:t>Overall, the equity-settled structure is defensible, but the scheme should be redesigned before approval because of the KPI, dilution and fairness concerns.</w:t>
      </w:r>
    </w:p>
    <w:p>
      <w:pPr>
        <w:spacing w:before="120" w:after="20"/>
      </w:pPr>
      <w:r>
        <w:rPr>
          <w:b/>
          <w:color w:val="1F3D6B"/>
          <w:sz w:val="22"/>
        </w:rPr>
        <w:t>2.11 A discussion-style question you could be asked (and how to answer it)</w:t>
      </w:r>
    </w:p>
    <w:p>
      <w:pPr>
        <w:pStyle w:val="ListBullet"/>
        <w:spacing w:after="60"/>
      </w:pPr>
      <w:r>
        <w:rPr>
          <w:sz w:val="20"/>
        </w:rPr>
        <w:t>A likely task is: "Discuss the accounting treatment and the appropriateness of the proposed share-based payment scheme."</w:t>
      </w:r>
    </w:p>
    <w:p>
      <w:pPr>
        <w:pStyle w:val="ListBullet"/>
        <w:spacing w:after="60"/>
      </w:pPr>
      <w:r>
        <w:rPr>
          <w:sz w:val="20"/>
        </w:rPr>
        <w:t>Answer it by first classifying the award (equity-settled, with the fixed-value/variable-number judgement flagged).</w:t>
      </w:r>
    </w:p>
    <w:p>
      <w:pPr>
        <w:pStyle w:val="ListBullet"/>
        <w:spacing w:after="60"/>
      </w:pPr>
      <w:r>
        <w:rPr>
          <w:sz w:val="20"/>
        </w:rPr>
        <w:t>Then explain recognition over the vesting period, grant-date fair value measurement, and the true-up for non-market vesting conditions.</w:t>
      </w:r>
    </w:p>
    <w:p>
      <w:pPr>
        <w:pStyle w:val="ListBullet"/>
        <w:spacing w:after="60"/>
      </w:pPr>
      <w:r>
        <w:rPr>
          <w:sz w:val="20"/>
        </w:rPr>
        <w:t>Then evaluate appropriateness: cash-friendly but dilutive, income-statement impact, and the risk that unachievable KPIs make the scheme pointless.</w:t>
      </w:r>
    </w:p>
    <w:p>
      <w:pPr>
        <w:pStyle w:val="ListBullet"/>
        <w:spacing w:after="60"/>
      </w:pPr>
      <w:r>
        <w:rPr>
          <w:sz w:val="20"/>
        </w:rPr>
        <w:t>Then conclude with a recommendation to redesign the KPIs and to gate vesting on the going concern being secured.</w:t>
      </w:r>
    </w:p>
    <w:p>
      <w:pPr>
        <w:spacing w:before="200" w:after="40"/>
        <w:pBdr>
          <w:bottom w:val="single" w:sz="6" w:space="2" w:color="808080"/>
        </w:pBdr>
      </w:pPr>
      <w:r>
        <w:rPr>
          <w:b/>
          <w:color w:val="1F3D6B"/>
          <w:sz w:val="26"/>
        </w:rPr>
        <w:t>3. Critical evaluation of the five KPIs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304"/>
            <w:shd w:val="clear" w:fill="1f3d6b"/>
          </w:tcPr>
          <w:p>
            <w:r/>
            <w:r>
              <w:rPr>
                <w:b/>
                <w:color w:val="FFFFFF"/>
                <w:sz w:val="17"/>
              </w:rPr>
              <w:t>KPI</w:t>
            </w:r>
          </w:p>
        </w:tc>
        <w:tc>
          <w:tcPr>
            <w:tcW w:type="dxa" w:w="2592"/>
            <w:shd w:val="clear" w:fill="1f3d6b"/>
          </w:tcPr>
          <w:p>
            <w:r/>
            <w:r>
              <w:rPr>
                <w:b/>
                <w:color w:val="FFFFFF"/>
                <w:sz w:val="17"/>
              </w:rPr>
              <w:t>Appropriate aspects</w:t>
            </w:r>
          </w:p>
        </w:tc>
        <w:tc>
          <w:tcPr>
            <w:tcW w:type="dxa" w:w="2880"/>
            <w:shd w:val="clear" w:fill="1f3d6b"/>
          </w:tcPr>
          <w:p>
            <w:r/>
            <w:r>
              <w:rPr>
                <w:b/>
                <w:color w:val="FFFFFF"/>
                <w:sz w:val="17"/>
              </w:rPr>
              <w:t>Inappropriate aspects</w:t>
            </w:r>
          </w:p>
        </w:tc>
        <w:tc>
          <w:tcPr>
            <w:tcW w:type="dxa" w:w="2664"/>
            <w:shd w:val="clear" w:fill="1f3d6b"/>
          </w:tcPr>
          <w:p>
            <w:r/>
            <w:r>
              <w:rPr>
                <w:b/>
                <w:color w:val="FFFFFF"/>
                <w:sz w:val="17"/>
              </w:rPr>
              <w:t>Recommended change / alternative</w:t>
            </w:r>
          </w:p>
        </w:tc>
      </w:tr>
      <w:tr>
        <w:tc>
          <w:tcPr>
            <w:tcW w:type="dxa" w:w="2304"/>
          </w:tcPr>
          <w:p>
            <w:r/>
            <w:r>
              <w:rPr>
                <w:sz w:val="17"/>
              </w:rPr>
              <w:t>1. Mining cost growth (excl. impairments) below inflation</w:t>
            </w:r>
          </w:p>
        </w:tc>
        <w:tc>
          <w:tcPr>
            <w:tcW w:type="dxa" w:w="2592"/>
          </w:tcPr>
          <w:p>
            <w:r/>
            <w:r>
              <w:rPr>
                <w:sz w:val="17"/>
              </w:rPr>
              <w:t>Targets cost control, which management can influence. Correctly excludes uncontrollable, price-driven impairments.</w:t>
            </w:r>
          </w:p>
        </w:tc>
        <w:tc>
          <w:tcPr>
            <w:tcW w:type="dxa" w:w="2880"/>
          </w:tcPr>
          <w:p>
            <w:r/>
            <w:r>
              <w:rPr>
                <w:sz w:val="17"/>
              </w:rPr>
              <w:t>A low bar already met, because costs fell 18.5% in a loss year. Can be met by mining less or cutting safety/development spend. Measures cost growth, not efficiency.</w:t>
            </w:r>
          </w:p>
        </w:tc>
        <w:tc>
          <w:tcPr>
            <w:tcW w:type="dxa" w:w="2664"/>
          </w:tcPr>
          <w:p>
            <w:r/>
            <w:r>
              <w:rPr>
                <w:sz w:val="17"/>
              </w:rPr>
              <w:t>Replace with cost per carat versus budget, measured per mine.</w:t>
            </w:r>
          </w:p>
        </w:tc>
      </w:tr>
      <w:tr>
        <w:tc>
          <w:tcPr>
            <w:tcW w:type="dxa" w:w="2304"/>
          </w:tcPr>
          <w:p>
            <w:r/>
            <w:r>
              <w:rPr>
                <w:sz w:val="17"/>
              </w:rPr>
              <w:t>2. Net profit growth of at least 5%</w:t>
            </w:r>
          </w:p>
        </w:tc>
        <w:tc>
          <w:tcPr>
            <w:tcW w:type="dxa" w:w="2592"/>
          </w:tcPr>
          <w:p>
            <w:r/>
            <w:r>
              <w:rPr>
                <w:sz w:val="17"/>
              </w:rPr>
              <w:t>In principle links pay to a bottom-line outcome.</w:t>
            </w:r>
          </w:p>
        </w:tc>
        <w:tc>
          <w:tcPr>
            <w:tcW w:type="dxa" w:w="2880"/>
          </w:tcPr>
          <w:p>
            <w:r/>
            <w:r>
              <w:rPr>
                <w:sz w:val="17"/>
              </w:rPr>
              <w:t>Unachievable, because the company is loss-making. Largely uncontrollable (price, currency, impairments). Invites manipulation via disposals or impairment choices.</w:t>
            </w:r>
          </w:p>
        </w:tc>
        <w:tc>
          <w:tcPr>
            <w:tcW w:type="dxa" w:w="2664"/>
          </w:tcPr>
          <w:p>
            <w:r/>
            <w:r>
              <w:rPr>
                <w:sz w:val="17"/>
              </w:rPr>
              <w:t>Replace with residual income / EVA, adjusted EBITDA or free cash flow.</w:t>
            </w:r>
          </w:p>
        </w:tc>
      </w:tr>
      <w:tr>
        <w:tc>
          <w:tcPr>
            <w:tcW w:type="dxa" w:w="2304"/>
          </w:tcPr>
          <w:p>
            <w:r/>
            <w:r>
              <w:rPr>
                <w:sz w:val="17"/>
              </w:rPr>
              <w:t>3. High-value diamonds as a % of total mined</w:t>
            </w:r>
          </w:p>
        </w:tc>
        <w:tc>
          <w:tcPr>
            <w:tcW w:type="dxa" w:w="2592"/>
          </w:tcPr>
          <w:p>
            <w:r/>
            <w:r>
              <w:rPr>
                <w:sz w:val="17"/>
              </w:rPr>
              <w:t>Aligns with the value-led strategy. Fits the tender sales model.</w:t>
            </w:r>
          </w:p>
        </w:tc>
        <w:tc>
          <w:tcPr>
            <w:tcW w:type="dxa" w:w="2880"/>
          </w:tcPr>
          <w:p>
            <w:r/>
            <w:r>
              <w:rPr>
                <w:sz w:val="17"/>
              </w:rPr>
              <w:t>Geology-driven, so only partly controllable. "High-value" is subjective and manipulable. Can encourage high-grading and sterilising lower-grade ore.</w:t>
            </w:r>
          </w:p>
        </w:tc>
        <w:tc>
          <w:tcPr>
            <w:tcW w:type="dxa" w:w="2664"/>
          </w:tcPr>
          <w:p>
            <w:r/>
            <w:r>
              <w:rPr>
                <w:sz w:val="17"/>
              </w:rPr>
              <w:t>Keep, but define objectively (a US$/carat threshold verified at tender) with a geologist sign-off against sterilisation; add realised US$/carat.</w:t>
            </w:r>
          </w:p>
        </w:tc>
      </w:tr>
      <w:tr>
        <w:tc>
          <w:tcPr>
            <w:tcW w:type="dxa" w:w="2304"/>
          </w:tcPr>
          <w:p>
            <w:r/>
            <w:r>
              <w:rPr>
                <w:sz w:val="17"/>
              </w:rPr>
              <w:t>4. Reduction in inventories</w:t>
            </w:r>
          </w:p>
        </w:tc>
        <w:tc>
          <w:tcPr>
            <w:tcW w:type="dxa" w:w="2592"/>
          </w:tcPr>
          <w:p>
            <w:r/>
            <w:r>
              <w:rPr>
                <w:sz w:val="17"/>
              </w:rPr>
              <w:t>Relevant to the liquidity crisis, because it frees cash.</w:t>
            </w:r>
          </w:p>
        </w:tc>
        <w:tc>
          <w:tcPr>
            <w:tcW w:type="dxa" w:w="2880"/>
          </w:tcPr>
          <w:p>
            <w:r/>
            <w:r>
              <w:rPr>
                <w:sz w:val="17"/>
              </w:rPr>
              <w:t>Conflicts with the strategy of deferring tenders when prices are weak. Can be met by write-downs or by mining less.</w:t>
            </w:r>
          </w:p>
        </w:tc>
        <w:tc>
          <w:tcPr>
            <w:tcW w:type="dxa" w:w="2664"/>
          </w:tcPr>
          <w:p>
            <w:r/>
            <w:r>
              <w:rPr>
                <w:sz w:val="17"/>
              </w:rPr>
              <w:t>Replace with free cash flow or cash conversion.</w:t>
            </w:r>
          </w:p>
        </w:tc>
      </w:tr>
      <w:tr>
        <w:tc>
          <w:tcPr>
            <w:tcW w:type="dxa" w:w="2304"/>
          </w:tcPr>
          <w:p>
            <w:r/>
            <w:r>
              <w:rPr>
                <w:sz w:val="17"/>
              </w:rPr>
              <w:t>5. EY integrated-reporting rating</w:t>
            </w:r>
          </w:p>
        </w:tc>
        <w:tc>
          <w:tcPr>
            <w:tcW w:type="dxa" w:w="2592"/>
          </w:tcPr>
          <w:p>
            <w:r/>
            <w:r>
              <w:rPr>
                <w:sz w:val="17"/>
              </w:rPr>
              <w:t>Encourages transparency and integrated thinking (King IV).</w:t>
            </w:r>
          </w:p>
        </w:tc>
        <w:tc>
          <w:tcPr>
            <w:tcW w:type="dxa" w:w="2880"/>
          </w:tcPr>
          <w:p>
            <w:r/>
            <w:r>
              <w:rPr>
                <w:sz w:val="17"/>
              </w:rPr>
              <w:t>Rewards report quality, not real ESG (greenwashing). External, subjective and largely uncontrollable.</w:t>
            </w:r>
          </w:p>
        </w:tc>
        <w:tc>
          <w:tcPr>
            <w:tcW w:type="dxa" w:w="2664"/>
          </w:tcPr>
          <w:p>
            <w:r/>
            <w:r>
              <w:rPr>
                <w:sz w:val="17"/>
              </w:rPr>
              <w:t>Replace with hard ESG outcomes (emissions versus the 35–40% roadmap, water recycling, safety).</w:t>
            </w:r>
          </w:p>
        </w:tc>
      </w:tr>
    </w:tbl>
    <w:p>
      <w:pPr>
        <w:spacing w:before="200" w:after="40"/>
        <w:pBdr>
          <w:bottom w:val="single" w:sz="6" w:space="2" w:color="808080"/>
        </w:pBdr>
      </w:pPr>
      <w:r>
        <w:rPr>
          <w:b/>
          <w:color w:val="1F3D6B"/>
          <w:sz w:val="26"/>
        </w:rPr>
        <w:t>4. Evaluation of Lavashni’s understanding of each KPI</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720"/>
            <w:shd w:val="clear" w:fill="1f3d6b"/>
          </w:tcPr>
          <w:p>
            <w:r/>
            <w:r>
              <w:rPr>
                <w:b/>
                <w:color w:val="FFFFFF"/>
                <w:sz w:val="17"/>
              </w:rPr>
              <w:t>KPI</w:t>
            </w:r>
          </w:p>
        </w:tc>
        <w:tc>
          <w:tcPr>
            <w:tcW w:type="dxa" w:w="3024"/>
            <w:shd w:val="clear" w:fill="1f3d6b"/>
          </w:tcPr>
          <w:p>
            <w:r/>
            <w:r>
              <w:rPr>
                <w:b/>
                <w:color w:val="FFFFFF"/>
                <w:sz w:val="17"/>
              </w:rPr>
              <w:t>Her understanding</w:t>
            </w:r>
          </w:p>
        </w:tc>
        <w:tc>
          <w:tcPr>
            <w:tcW w:type="dxa" w:w="1584"/>
            <w:shd w:val="clear" w:fill="1f3d6b"/>
          </w:tcPr>
          <w:p>
            <w:r/>
            <w:r>
              <w:rPr>
                <w:b/>
                <w:color w:val="FFFFFF"/>
                <w:sz w:val="17"/>
              </w:rPr>
              <w:t>Correct?</w:t>
            </w:r>
          </w:p>
        </w:tc>
        <w:tc>
          <w:tcPr>
            <w:tcW w:type="dxa" w:w="5112"/>
            <w:shd w:val="clear" w:fill="1f3d6b"/>
          </w:tcPr>
          <w:p>
            <w:r/>
            <w:r>
              <w:rPr>
                <w:b/>
                <w:color w:val="FFFFFF"/>
                <w:sz w:val="17"/>
              </w:rPr>
              <w:t>Why / the corrected understanding &amp; further evaluation</w:t>
            </w:r>
          </w:p>
        </w:tc>
      </w:tr>
      <w:tr>
        <w:tc>
          <w:tcPr>
            <w:tcW w:type="dxa" w:w="720"/>
          </w:tcPr>
          <w:p>
            <w:r/>
            <w:r>
              <w:rPr>
                <w:sz w:val="17"/>
              </w:rPr>
              <w:t>1</w:t>
            </w:r>
          </w:p>
        </w:tc>
        <w:tc>
          <w:tcPr>
            <w:tcW w:type="dxa" w:w="3024"/>
          </w:tcPr>
          <w:p>
            <w:r/>
            <w:r>
              <w:rPr>
                <w:sz w:val="17"/>
              </w:rPr>
              <w:t>Highlights cost control</w:t>
            </w:r>
          </w:p>
        </w:tc>
        <w:tc>
          <w:tcPr>
            <w:tcW w:type="dxa" w:w="1584"/>
          </w:tcPr>
          <w:p>
            <w:r/>
            <w:r>
              <w:rPr>
                <w:sz w:val="17"/>
              </w:rPr>
              <w:t>Broadly correct</w:t>
            </w:r>
          </w:p>
        </w:tc>
        <w:tc>
          <w:tcPr>
            <w:tcW w:type="dxa" w:w="5112"/>
          </w:tcPr>
          <w:p>
            <w:r/>
            <w:r>
              <w:rPr>
                <w:sz w:val="17"/>
              </w:rPr>
              <w:t>It does target cost control, but she does not appreciate that it is a low bar that can be met by mining less or cutting essential spend, so it is a weak measure of real efficiency.</w:t>
            </w:r>
          </w:p>
        </w:tc>
      </w:tr>
      <w:tr>
        <w:tc>
          <w:tcPr>
            <w:tcW w:type="dxa" w:w="720"/>
          </w:tcPr>
          <w:p>
            <w:r/>
            <w:r>
              <w:rPr>
                <w:sz w:val="17"/>
              </w:rPr>
              <w:t>2</w:t>
            </w:r>
          </w:p>
        </w:tc>
        <w:tc>
          <w:tcPr>
            <w:tcW w:type="dxa" w:w="3024"/>
          </w:tcPr>
          <w:p>
            <w:r/>
            <w:r>
              <w:rPr>
                <w:sz w:val="17"/>
              </w:rPr>
              <w:t>Ensures shareholders benefit</w:t>
            </w:r>
          </w:p>
        </w:tc>
        <w:tc>
          <w:tcPr>
            <w:tcW w:type="dxa" w:w="1584"/>
          </w:tcPr>
          <w:p>
            <w:r/>
            <w:r>
              <w:rPr>
                <w:sz w:val="17"/>
              </w:rPr>
              <w:t>Incorrect</w:t>
            </w:r>
          </w:p>
        </w:tc>
        <w:tc>
          <w:tcPr>
            <w:tcW w:type="dxa" w:w="5112"/>
          </w:tcPr>
          <w:p>
            <w:r/>
            <w:r>
              <w:rPr>
                <w:sz w:val="17"/>
              </w:rPr>
              <w:t>Profit growth does not ensure shareholders benefit, because profit can be raised through disposals, impairment choices or tax; it is also unachievable while the company is loss-making, so it cannot function as intended.</w:t>
            </w:r>
          </w:p>
        </w:tc>
      </w:tr>
      <w:tr>
        <w:tc>
          <w:tcPr>
            <w:tcW w:type="dxa" w:w="720"/>
          </w:tcPr>
          <w:p>
            <w:r/>
            <w:r>
              <w:rPr>
                <w:sz w:val="17"/>
              </w:rPr>
              <w:t>3</w:t>
            </w:r>
          </w:p>
        </w:tc>
        <w:tc>
          <w:tcPr>
            <w:tcW w:type="dxa" w:w="3024"/>
          </w:tcPr>
          <w:p>
            <w:r/>
            <w:r>
              <w:rPr>
                <w:sz w:val="17"/>
              </w:rPr>
              <w:t>Rewards operational excellence / the higher-quality strategy</w:t>
            </w:r>
          </w:p>
        </w:tc>
        <w:tc>
          <w:tcPr>
            <w:tcW w:type="dxa" w:w="1584"/>
          </w:tcPr>
          <w:p>
            <w:r/>
            <w:r>
              <w:rPr>
                <w:sz w:val="17"/>
              </w:rPr>
              <w:t>Correct</w:t>
            </w:r>
          </w:p>
        </w:tc>
        <w:tc>
          <w:tcPr>
            <w:tcW w:type="dxa" w:w="5112"/>
          </w:tcPr>
          <w:p>
            <w:r/>
            <w:r>
              <w:rPr>
                <w:sz w:val="17"/>
              </w:rPr>
              <w:t>This is the best-aligned KPI and correctly supports the value-led strategy, but she should note it is partly geology-driven and can be gamed through high-grading.</w:t>
            </w:r>
          </w:p>
        </w:tc>
      </w:tr>
      <w:tr>
        <w:tc>
          <w:tcPr>
            <w:tcW w:type="dxa" w:w="720"/>
          </w:tcPr>
          <w:p>
            <w:r/>
            <w:r>
              <w:rPr>
                <w:sz w:val="17"/>
              </w:rPr>
              <w:t>4</w:t>
            </w:r>
          </w:p>
        </w:tc>
        <w:tc>
          <w:tcPr>
            <w:tcW w:type="dxa" w:w="3024"/>
          </w:tcPr>
          <w:p>
            <w:r/>
            <w:r>
              <w:rPr>
                <w:sz w:val="17"/>
              </w:rPr>
              <w:t>Frees up cash for shareholders</w:t>
            </w:r>
          </w:p>
        </w:tc>
        <w:tc>
          <w:tcPr>
            <w:tcW w:type="dxa" w:w="1584"/>
          </w:tcPr>
          <w:p>
            <w:r/>
            <w:r>
              <w:rPr>
                <w:sz w:val="17"/>
              </w:rPr>
              <w:t>Partly correct</w:t>
            </w:r>
          </w:p>
        </w:tc>
        <w:tc>
          <w:tcPr>
            <w:tcW w:type="dxa" w:w="5112"/>
          </w:tcPr>
          <w:p>
            <w:r/>
            <w:r>
              <w:rPr>
                <w:sz w:val="17"/>
              </w:rPr>
              <w:t>It does free cash, but the cash currently benefits survival and creditors rather than shareholders directly (no dividends are paid), and she misses that it conflicts with the deferring-tenders strategy.</w:t>
            </w:r>
          </w:p>
        </w:tc>
      </w:tr>
      <w:tr>
        <w:tc>
          <w:tcPr>
            <w:tcW w:type="dxa" w:w="720"/>
          </w:tcPr>
          <w:p>
            <w:r/>
            <w:r>
              <w:rPr>
                <w:sz w:val="17"/>
              </w:rPr>
              <w:t>5</w:t>
            </w:r>
          </w:p>
        </w:tc>
        <w:tc>
          <w:tcPr>
            <w:tcW w:type="dxa" w:w="3024"/>
          </w:tcPr>
          <w:p>
            <w:r/>
            <w:r>
              <w:rPr>
                <w:sz w:val="17"/>
              </w:rPr>
              <w:t>Represents ESG excellence</w:t>
            </w:r>
          </w:p>
        </w:tc>
        <w:tc>
          <w:tcPr>
            <w:tcW w:type="dxa" w:w="1584"/>
          </w:tcPr>
          <w:p>
            <w:r/>
            <w:r>
              <w:rPr>
                <w:sz w:val="17"/>
              </w:rPr>
              <w:t>Incorrect</w:t>
            </w:r>
          </w:p>
        </w:tc>
        <w:tc>
          <w:tcPr>
            <w:tcW w:type="dxa" w:w="5112"/>
          </w:tcPr>
          <w:p>
            <w:r/>
            <w:r>
              <w:rPr>
                <w:sz w:val="17"/>
              </w:rPr>
              <w:t>It measures the quality of the integrated report, not actual ESG performance, so a high rating can be achieved through good disclosure rather than real emissions, water or safety improvements.</w:t>
            </w:r>
          </w:p>
        </w:tc>
      </w:tr>
    </w:tbl>
    <w:p>
      <w:pPr>
        <w:pStyle w:val="ListBullet"/>
        <w:spacing w:after="60"/>
      </w:pPr>
      <w:r>
        <w:rPr>
          <w:sz w:val="20"/>
        </w:rPr>
        <w:t>It is a governance concern that the chair of the remuneration committee misunderstands two of the five KPIs and only partly understands a third.</w:t>
      </w:r>
    </w:p>
    <w:p>
      <w:pPr>
        <w:pStyle w:val="ListBullet"/>
        <w:spacing w:after="60"/>
      </w:pPr>
      <w:r>
        <w:rPr>
          <w:sz w:val="20"/>
        </w:rPr>
        <w:t>This supports a recommendation that she obtain the full scheme details, take advice, and not approve the scheme until she is properly informed.</w:t>
      </w:r>
    </w:p>
    <w:p>
      <w:pPr>
        <w:spacing w:before="200" w:after="40"/>
        <w:pBdr>
          <w:bottom w:val="single" w:sz="6" w:space="2" w:color="808080"/>
        </w:pBdr>
      </w:pPr>
      <w:r>
        <w:rPr>
          <w:b/>
          <w:color w:val="1F3D6B"/>
          <w:sz w:val="26"/>
        </w:rPr>
        <w:t>5. Non-financial KPIs that Diamante should use (with application)</w:t>
      </w:r>
    </w:p>
    <w:p>
      <w:pPr>
        <w:pStyle w:val="ListBullet"/>
        <w:spacing w:after="60"/>
      </w:pPr>
      <w:r>
        <w:rPr>
          <w:sz w:val="20"/>
        </w:rPr>
        <w:t>A good incentive scheme balances financial measures with non-financial ones, following a balanced-scorecard approach across the financial, customer, internal-process and learning-and-growth perspectives.</w:t>
      </w:r>
    </w:p>
    <w:p>
      <w:pPr>
        <w:pStyle w:val="ListBullet"/>
        <w:spacing w:after="60"/>
      </w:pPr>
      <w:r>
        <w:rPr>
          <w:sz w:val="20"/>
        </w:rPr>
        <w:t>Non-financial KPIs are important for Diamante, because they protect the licence to operate, the value-led strategy and long-term survival, which pure financial targets ignore.</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val="clear" w:fill="1f3d6b"/>
          </w:tcPr>
          <w:p>
            <w:r/>
            <w:r>
              <w:rPr>
                <w:b/>
                <w:color w:val="FFFFFF"/>
                <w:sz w:val="17"/>
              </w:rPr>
              <w:t>Non-financial KPI</w:t>
            </w:r>
          </w:p>
        </w:tc>
        <w:tc>
          <w:tcPr>
            <w:tcW w:type="dxa" w:w="3024"/>
            <w:shd w:val="clear" w:fill="1f3d6b"/>
          </w:tcPr>
          <w:p>
            <w:r/>
            <w:r>
              <w:rPr>
                <w:b/>
                <w:color w:val="FFFFFF"/>
                <w:sz w:val="17"/>
              </w:rPr>
              <w:t>What it measures</w:t>
            </w:r>
          </w:p>
        </w:tc>
        <w:tc>
          <w:tcPr>
            <w:tcW w:type="dxa" w:w="4896"/>
            <w:shd w:val="clear" w:fill="1f3d6b"/>
          </w:tcPr>
          <w:p>
            <w:r/>
            <w:r>
              <w:rPr>
                <w:b/>
                <w:color w:val="FFFFFF"/>
                <w:sz w:val="17"/>
              </w:rPr>
              <w:t>How to apply it appropriately to Diamante</w:t>
            </w:r>
          </w:p>
        </w:tc>
      </w:tr>
      <w:tr>
        <w:tc>
          <w:tcPr>
            <w:tcW w:type="dxa" w:w="2448"/>
          </w:tcPr>
          <w:p>
            <w:r/>
            <w:r>
              <w:rPr>
                <w:sz w:val="17"/>
              </w:rPr>
              <w:t>Safety — LTIFR</w:t>
            </w:r>
          </w:p>
        </w:tc>
        <w:tc>
          <w:tcPr>
            <w:tcW w:type="dxa" w:w="3024"/>
          </w:tcPr>
          <w:p>
            <w:r/>
            <w:r>
              <w:rPr>
                <w:sz w:val="17"/>
              </w:rPr>
              <w:t>Lost-time injuries per million hours worked</w:t>
            </w:r>
          </w:p>
        </w:tc>
        <w:tc>
          <w:tcPr>
            <w:tcW w:type="dxa" w:w="4896"/>
          </w:tcPr>
          <w:p>
            <w:r/>
            <w:r>
              <w:rPr>
                <w:sz w:val="17"/>
              </w:rPr>
              <w:t>Reward a falling injury rate, because deep-level South African mining is high-risk and a serious incident could stop a mine and threaten going concern.</w:t>
            </w:r>
          </w:p>
        </w:tc>
      </w:tr>
      <w:tr>
        <w:tc>
          <w:tcPr>
            <w:tcW w:type="dxa" w:w="2448"/>
          </w:tcPr>
          <w:p>
            <w:r/>
            <w:r>
              <w:rPr>
                <w:sz w:val="17"/>
              </w:rPr>
              <w:t>Realised value per carat / tender success</w:t>
            </w:r>
          </w:p>
        </w:tc>
        <w:tc>
          <w:tcPr>
            <w:tcW w:type="dxa" w:w="3024"/>
          </w:tcPr>
          <w:p>
            <w:r/>
            <w:r>
              <w:rPr>
                <w:sz w:val="17"/>
              </w:rPr>
              <w:t>US$ per carat achieved, and the proportion of parcels sold above the reserve price</w:t>
            </w:r>
          </w:p>
        </w:tc>
        <w:tc>
          <w:tcPr>
            <w:tcW w:type="dxa" w:w="4896"/>
          </w:tcPr>
          <w:p>
            <w:r/>
            <w:r>
              <w:rPr>
                <w:sz w:val="17"/>
              </w:rPr>
              <w:t>Reward achieving high value at tender, because this directly measures the value-led strategy and the discipline of deferring sales in weak markets.</w:t>
            </w:r>
          </w:p>
        </w:tc>
      </w:tr>
      <w:tr>
        <w:tc>
          <w:tcPr>
            <w:tcW w:type="dxa" w:w="2448"/>
          </w:tcPr>
          <w:p>
            <w:r/>
            <w:r>
              <w:rPr>
                <w:sz w:val="17"/>
              </w:rPr>
              <w:t>Grade / plant recovery</w:t>
            </w:r>
          </w:p>
        </w:tc>
        <w:tc>
          <w:tcPr>
            <w:tcW w:type="dxa" w:w="3024"/>
          </w:tcPr>
          <w:p>
            <w:r/>
            <w:r>
              <w:rPr>
                <w:sz w:val="17"/>
              </w:rPr>
              <w:t>Carats recovered per tonne, and plant recovery %</w:t>
            </w:r>
          </w:p>
        </w:tc>
        <w:tc>
          <w:tcPr>
            <w:tcW w:type="dxa" w:w="4896"/>
          </w:tcPr>
          <w:p>
            <w:r/>
            <w:r>
              <w:rPr>
                <w:sz w:val="17"/>
              </w:rPr>
              <w:t>Reward efficient extraction per mine, because it is controllable and rewards operational excellence without encouraging high-grading.</w:t>
            </w:r>
          </w:p>
        </w:tc>
      </w:tr>
      <w:tr>
        <w:tc>
          <w:tcPr>
            <w:tcW w:type="dxa" w:w="2448"/>
          </w:tcPr>
          <w:p>
            <w:r/>
            <w:r>
              <w:rPr>
                <w:sz w:val="17"/>
              </w:rPr>
              <w:t>Water recycling %</w:t>
            </w:r>
          </w:p>
        </w:tc>
        <w:tc>
          <w:tcPr>
            <w:tcW w:type="dxa" w:w="3024"/>
          </w:tcPr>
          <w:p>
            <w:r/>
            <w:r>
              <w:rPr>
                <w:sz w:val="17"/>
              </w:rPr>
              <w:t>Recycled water as a share of total water used</w:t>
            </w:r>
          </w:p>
        </w:tc>
        <w:tc>
          <w:tcPr>
            <w:tcW w:type="dxa" w:w="4896"/>
          </w:tcPr>
          <w:p>
            <w:r/>
            <w:r>
              <w:rPr>
                <w:sz w:val="17"/>
              </w:rPr>
              <w:t>Reward higher recycling, because Diamante operates in water-scarce areas and "restricted access to water" is a stated risk.</w:t>
            </w:r>
          </w:p>
        </w:tc>
      </w:tr>
      <w:tr>
        <w:tc>
          <w:tcPr>
            <w:tcW w:type="dxa" w:w="2448"/>
          </w:tcPr>
          <w:p>
            <w:r/>
            <w:r>
              <w:rPr>
                <w:sz w:val="17"/>
              </w:rPr>
              <w:t>GHG emissions vs roadmap</w:t>
            </w:r>
          </w:p>
        </w:tc>
        <w:tc>
          <w:tcPr>
            <w:tcW w:type="dxa" w:w="3024"/>
          </w:tcPr>
          <w:p>
            <w:r/>
            <w:r>
              <w:rPr>
                <w:sz w:val="17"/>
              </w:rPr>
              <w:t>Scope 1 and 2 emissions against the 35–40% by 2030 target</w:t>
            </w:r>
          </w:p>
        </w:tc>
        <w:tc>
          <w:tcPr>
            <w:tcW w:type="dxa" w:w="4896"/>
          </w:tcPr>
          <w:p>
            <w:r/>
            <w:r>
              <w:rPr>
                <w:sz w:val="17"/>
              </w:rPr>
              <w:t>Reward real progress against Diamante’s own roadmap, replacing the weak reporting-award KPI with a genuine climate outcome.</w:t>
            </w:r>
          </w:p>
        </w:tc>
      </w:tr>
      <w:tr>
        <w:tc>
          <w:tcPr>
            <w:tcW w:type="dxa" w:w="2448"/>
          </w:tcPr>
          <w:p>
            <w:r/>
            <w:r>
              <w:rPr>
                <w:sz w:val="17"/>
              </w:rPr>
              <w:t>Ethical sourcing / traceability</w:t>
            </w:r>
          </w:p>
        </w:tc>
        <w:tc>
          <w:tcPr>
            <w:tcW w:type="dxa" w:w="3024"/>
          </w:tcPr>
          <w:p>
            <w:r/>
            <w:r>
              <w:rPr>
                <w:sz w:val="17"/>
              </w:rPr>
              <w:t>Kimberley Process certification and no mixing of mine production</w:t>
            </w:r>
          </w:p>
        </w:tc>
        <w:tc>
          <w:tcPr>
            <w:tcW w:type="dxa" w:w="4896"/>
          </w:tcPr>
          <w:p>
            <w:r/>
            <w:r>
              <w:rPr>
                <w:sz w:val="17"/>
              </w:rPr>
              <w:t>Reward maintaining traceability, because it protects brand value and market access and is central to Diamante’s controls.</w:t>
            </w:r>
          </w:p>
        </w:tc>
      </w:tr>
      <w:tr>
        <w:tc>
          <w:tcPr>
            <w:tcW w:type="dxa" w:w="2448"/>
          </w:tcPr>
          <w:p>
            <w:r/>
            <w:r>
              <w:rPr>
                <w:sz w:val="17"/>
              </w:rPr>
              <w:t>Local employment / community</w:t>
            </w:r>
          </w:p>
        </w:tc>
        <w:tc>
          <w:tcPr>
            <w:tcW w:type="dxa" w:w="3024"/>
          </w:tcPr>
          <w:p>
            <w:r/>
            <w:r>
              <w:rPr>
                <w:sz w:val="17"/>
              </w:rPr>
              <w:t>Share of host-community employees and community investment</w:t>
            </w:r>
          </w:p>
        </w:tc>
        <w:tc>
          <w:tcPr>
            <w:tcW w:type="dxa" w:w="4896"/>
          </w:tcPr>
          <w:p>
            <w:r/>
            <w:r>
              <w:rPr>
                <w:sz w:val="17"/>
              </w:rPr>
              <w:t>Reward community outcomes, because they mitigate Diamante’s stated risk of community unrest and riots.</w:t>
            </w:r>
          </w:p>
        </w:tc>
      </w:tr>
      <w:tr>
        <w:tc>
          <w:tcPr>
            <w:tcW w:type="dxa" w:w="2448"/>
          </w:tcPr>
          <w:p>
            <w:r/>
            <w:r>
              <w:rPr>
                <w:sz w:val="17"/>
              </w:rPr>
              <w:t>Employee retention / turnover</w:t>
            </w:r>
          </w:p>
        </w:tc>
        <w:tc>
          <w:tcPr>
            <w:tcW w:type="dxa" w:w="3024"/>
          </w:tcPr>
          <w:p>
            <w:r/>
            <w:r>
              <w:rPr>
                <w:sz w:val="17"/>
              </w:rPr>
              <w:t>Voluntary staff turnover of key skills</w:t>
            </w:r>
          </w:p>
        </w:tc>
        <w:tc>
          <w:tcPr>
            <w:tcW w:type="dxa" w:w="4896"/>
          </w:tcPr>
          <w:p>
            <w:r/>
            <w:r>
              <w:rPr>
                <w:sz w:val="17"/>
              </w:rPr>
              <w:t>Reward retention, because the whole point of a long-term scheme is to keep critical management and mining skills.</w:t>
            </w:r>
          </w:p>
        </w:tc>
      </w:tr>
    </w:tbl>
    <w:p>
      <w:pPr>
        <w:pStyle w:val="ListBullet"/>
        <w:spacing w:after="60"/>
      </w:pPr>
      <w:r>
        <w:rPr>
          <w:sz w:val="20"/>
        </w:rPr>
        <w:t>These non-financial KPIs are more controllable and harder to manipulate than several of the current financial KPIs, and they tie pay to the strategy and to survival.</w:t>
      </w:r>
    </w:p>
    <w:p>
      <w:pPr>
        <w:spacing w:before="200" w:after="40"/>
        <w:pBdr>
          <w:bottom w:val="single" w:sz="6" w:space="2" w:color="808080"/>
        </w:pBdr>
      </w:pPr>
      <w:r>
        <w:rPr>
          <w:b/>
          <w:color w:val="1F3D6B"/>
          <w:sz w:val="26"/>
        </w:rPr>
        <w:t>6. Other necessary considerations</w:t>
      </w:r>
    </w:p>
    <w:p>
      <w:pPr>
        <w:pStyle w:val="ListBullet"/>
        <w:spacing w:after="60"/>
      </w:pPr>
      <w:r>
        <w:rPr>
          <w:sz w:val="20"/>
        </w:rPr>
        <w:t>There is a fairness concern, because bonuses were paused for all other staff while management could receive shares worth three to five times salary in a loss-making year.</w:t>
      </w:r>
    </w:p>
    <w:p>
      <w:pPr>
        <w:pStyle w:val="ListBullet"/>
        <w:spacing w:after="60"/>
      </w:pPr>
      <w:r>
        <w:rPr>
          <w:sz w:val="20"/>
        </w:rPr>
        <w:t>This looks like a reward for failure, which is likely what drove the dissent at the AGM.</w:t>
      </w:r>
    </w:p>
    <w:p>
      <w:pPr>
        <w:pStyle w:val="ListBullet"/>
        <w:spacing w:after="60"/>
      </w:pPr>
      <w:r>
        <w:rPr>
          <w:sz w:val="20"/>
        </w:rPr>
        <w:t>There is a conflict-of-interest risk, because management can influence several of the KPIs they are paid on.</w:t>
      </w:r>
    </w:p>
    <w:p>
      <w:pPr>
        <w:pStyle w:val="ListBullet"/>
        <w:spacing w:after="60"/>
      </w:pPr>
      <w:r>
        <w:rPr>
          <w:sz w:val="20"/>
        </w:rPr>
        <w:t>There is a manipulation risk, because KPIs 2, 3 and 4 can each be met through actions that destroy long-term value.</w:t>
      </w:r>
    </w:p>
    <w:p>
      <w:pPr>
        <w:pStyle w:val="ListBullet"/>
        <w:spacing w:after="60"/>
      </w:pPr>
      <w:r>
        <w:rPr>
          <w:sz w:val="20"/>
        </w:rPr>
        <w:t>There is a governance and competence concern regarding Lavashni, because she is newly appointed, did not attend the AGM, misunderstands some KPIs, and is on leave while chairing the remuneration committee.</w:t>
      </w:r>
    </w:p>
    <w:p>
      <w:pPr>
        <w:pStyle w:val="ListBullet"/>
        <w:spacing w:after="60"/>
      </w:pPr>
      <w:r>
        <w:rPr>
          <w:sz w:val="20"/>
        </w:rPr>
        <w:t>The scheme should include malus and clawback provisions, a cap, and a going-concern or refinancing gate, given the company’s fragile position.</w:t>
      </w:r>
    </w:p>
    <w:p>
      <w:pPr>
        <w:pStyle w:val="ListBullet"/>
        <w:spacing w:after="60"/>
      </w:pPr>
      <w:r>
        <w:rPr>
          <w:sz w:val="20"/>
        </w:rPr>
        <w:t>The remuneration policy should be clearly documented, minuted, and put to a shareholder (say-on-pay) vote, in line with King IV.</w:t>
      </w:r>
    </w:p>
    <w:p>
      <w:pPr>
        <w:spacing w:before="200" w:after="40"/>
        <w:pBdr>
          <w:bottom w:val="single" w:sz="6" w:space="2" w:color="808080"/>
        </w:pBdr>
      </w:pPr>
      <w:r>
        <w:rPr>
          <w:b/>
          <w:color w:val="1F3D6B"/>
          <w:sz w:val="26"/>
        </w:rPr>
        <w:t>7. Overall conclusion</w:t>
      </w:r>
    </w:p>
    <w:p>
      <w:pPr>
        <w:pStyle w:val="ListBullet"/>
        <w:spacing w:after="60"/>
      </w:pPr>
      <w:r>
        <w:rPr>
          <w:sz w:val="20"/>
        </w:rPr>
        <w:t>The share-based payment is best treated as equity-settled, which conserves cash, but it is dilutive and adds to the reported loss.</w:t>
      </w:r>
    </w:p>
    <w:p>
      <w:pPr>
        <w:pStyle w:val="ListBullet"/>
        <w:spacing w:after="60"/>
      </w:pPr>
      <w:r>
        <w:rPr>
          <w:sz w:val="20"/>
        </w:rPr>
        <w:t>The five KPIs are largely inappropriate, because they are uncontrollable, unachievable, a low bar already met, or a greenwashing proxy.</w:t>
      </w:r>
    </w:p>
    <w:p>
      <w:pPr>
        <w:pStyle w:val="ListBullet"/>
        <w:spacing w:after="60"/>
      </w:pPr>
      <w:r>
        <w:rPr>
          <w:sz w:val="20"/>
        </w:rPr>
        <w:t>Lavashni’s understanding is right on KPIs 1 and 3, only partly right on KPI 4, and wrong on KPIs 2 and 5.</w:t>
      </w:r>
    </w:p>
    <w:p>
      <w:pPr>
        <w:pStyle w:val="ListBullet"/>
        <w:spacing w:after="60"/>
      </w:pPr>
      <w:r>
        <w:rPr>
          <w:sz w:val="20"/>
        </w:rPr>
        <w:t>The scheme should be rebuilt on controllable financial and non-financial measures, tiered by responsibility, market-adjusted, and protected by malus, clawback and a going-concern gate before it is put to shareholders.</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