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7"/>
        </w:rPr>
        <w:t>Diamante — Revenue Recognition: Answer Frameworks for Likely Questions 1–3</w:t>
      </w:r>
    </w:p>
    <w:p>
      <w:pPr>
        <w:pStyle w:val="ListBullet"/>
        <w:spacing w:after="20"/>
      </w:pPr>
      <w:r>
        <w:rPr>
          <w:sz w:val="19"/>
        </w:rPr>
        <w:t>This gives you, for each likely question: the step-by-step APC answer approach, the trigger and target points to score competent, and a “what may come on the day → how to apply it → which direction your answer then goes” table.</w:t>
      </w:r>
    </w:p>
    <w:p>
      <w:pPr>
        <w:pStyle w:val="ListBullet"/>
        <w:spacing w:after="20"/>
      </w:pPr>
      <w:r>
        <w:rPr>
          <w:sz w:val="19"/>
        </w:rPr>
        <w:t>The golden thread: revenue follows CONTROL (IFRS 15.33), not risks and rewards alone; management recognises revenue on the tender-award date and the pre-release steers that this may be premature.</w:t>
      </w:r>
    </w:p>
    <w:p>
      <w:pPr>
        <w:spacing w:before="220" w:after="60"/>
        <w:shd w:val="clear" w:fill="1f3d6b"/>
      </w:pPr>
      <w:r>
        <w:rPr>
          <w:b/>
          <w:color w:val="FFFFFF"/>
          <w:sz w:val="25"/>
        </w:rPr>
        <w:t>Likely Q1 — Critique &amp; evaluate the appropriateness of the revenue policy (control passing at tender award)  ·  Ref: IFRS 15.35 &amp; .38</w:t>
      </w:r>
    </w:p>
    <w:p>
      <w:pPr>
        <w:spacing w:before="140" w:after="40"/>
      </w:pPr>
      <w:r>
        <w:rPr>
          <w:b/>
          <w:color w:val="1F3D6B"/>
          <w:sz w:val="21"/>
        </w:rPr>
        <w:t>Best answer approach — step by step (APC)</w:t>
      </w:r>
    </w:p>
    <w:p>
      <w:pPr>
        <w:pStyle w:val="ListNumber"/>
        <w:spacing w:after="20"/>
      </w:pPr>
      <w:r>
        <w:rPr>
          <w:b/>
          <w:sz w:val="19"/>
        </w:rPr>
        <w:t>State the issue &amp; management’s position.</w:t>
      </w:r>
      <w:r>
        <w:rPr>
          <w:sz w:val="19"/>
        </w:rPr>
        <w:t xml:space="preserve"> Management recognises revenue on the tender-award date because control is “deemed” to pass then; frame this as a judgement to be TESTED against IFRS 15, not asserted.</w:t>
      </w:r>
    </w:p>
    <w:p>
      <w:pPr>
        <w:pStyle w:val="ListNumber"/>
        <w:spacing w:after="20"/>
      </w:pPr>
      <w:r>
        <w:rPr>
          <w:b/>
          <w:sz w:val="19"/>
        </w:rPr>
        <w:t>Rule out “over time” first (IFRS 15.35).</w:t>
      </w:r>
      <w:r>
        <w:rPr>
          <w:sz w:val="19"/>
        </w:rPr>
        <w:t xml:space="preserve"> None of the three over-time criteria are met — the buyer does not consume benefits as diamonds are mined, does not control them during extraction, and the diamonds have alternative use (they can be re-tendered) with no enforceable right to payment for progress; therefore revenue is at a POINT IN TIME.</w:t>
      </w:r>
    </w:p>
    <w:p>
      <w:pPr>
        <w:pStyle w:val="ListNumber"/>
        <w:spacing w:after="20"/>
      </w:pPr>
      <w:r>
        <w:rPr>
          <w:b/>
          <w:sz w:val="19"/>
        </w:rPr>
        <w:t>List the candidate dates.</w:t>
      </w:r>
      <w:r>
        <w:rPr>
          <w:sz w:val="19"/>
        </w:rPr>
        <w:t xml:space="preserve"> Bid submission → tender award → legal-title transfer → delivery/collection; the question is which point control actually passes.</w:t>
      </w:r>
    </w:p>
    <w:p>
      <w:pPr>
        <w:pStyle w:val="ListNumber"/>
        <w:spacing w:after="20"/>
      </w:pPr>
      <w:r>
        <w:rPr>
          <w:b/>
          <w:sz w:val="19"/>
        </w:rPr>
        <w:t>Test each of the 5 IFRS 15.38 indicators (award vs collection).</w:t>
      </w:r>
      <w:r>
        <w:rPr>
          <w:sz w:val="19"/>
        </w:rPr>
        <w:t xml:space="preserve"> Present right to payment; legal title; physical possession; risks &amp; rewards; customer acceptance — for each, say which date it points to and apply the Diamante facts.</w:t>
      </w:r>
    </w:p>
    <w:p>
      <w:pPr>
        <w:pStyle w:val="ListNumber"/>
        <w:spacing w:after="20"/>
      </w:pPr>
      <w:r>
        <w:rPr>
          <w:b/>
          <w:sz w:val="19"/>
        </w:rPr>
        <w:t>Weigh the indicators (none is decisive).</w:t>
      </w:r>
      <w:r>
        <w:rPr>
          <w:sz w:val="19"/>
        </w:rPr>
        <w:t xml:space="preserve"> Possession retained after award, risk of loss in storage, title likely on export documents, and acceptance on collection all point LATER than award — so award is likely premature; management defends only 1 of 5 (probable collection).</w:t>
      </w:r>
    </w:p>
    <w:p>
      <w:pPr>
        <w:pStyle w:val="ListNumber"/>
        <w:spacing w:after="20"/>
      </w:pPr>
      <w:r>
        <w:rPr>
          <w:b/>
          <w:sz w:val="19"/>
        </w:rPr>
        <w:t>Impact &amp; materiality.</w:t>
      </w:r>
      <w:r>
        <w:rPr>
          <w:sz w:val="19"/>
        </w:rPr>
        <w:t xml:space="preserve"> Premature recognition overstates revenue, profit and receivables and creates a 30 June cut-off risk; quantify if numbers are given.</w:t>
      </w:r>
    </w:p>
    <w:p>
      <w:pPr>
        <w:pStyle w:val="ListNumber"/>
        <w:spacing w:after="20"/>
      </w:pPr>
      <w:r>
        <w:rPr>
          <w:b/>
          <w:sz w:val="19"/>
        </w:rPr>
        <w:t>Ethics &amp; scepticism.</w:t>
      </w:r>
      <w:r>
        <w:rPr>
          <w:sz w:val="19"/>
        </w:rPr>
        <w:t xml:space="preserve"> The refinancing and losses create a self-interest threat and a clear motive to prefer the earlier date — apply professional scepticism (integrity, objectivity).</w:t>
      </w:r>
    </w:p>
    <w:p>
      <w:pPr>
        <w:pStyle w:val="ListNumber"/>
        <w:spacing w:after="20"/>
      </w:pPr>
      <w:r>
        <w:rPr>
          <w:b/>
          <w:sz w:val="19"/>
        </w:rPr>
        <w:t>Conclude &amp; recommend.</w:t>
      </w:r>
      <w:r>
        <w:rPr>
          <w:sz w:val="19"/>
        </w:rPr>
        <w:t xml:space="preserve"> State a clear position (award likely premature → recognise on delivery/collection unless evidence shows otherwise), and list the evidence to request.</w:t>
      </w:r>
    </w:p>
    <w:p>
      <w:pPr>
        <w:spacing w:before="140" w:after="40"/>
      </w:pPr>
      <w:r>
        <w:rPr>
          <w:b/>
          <w:color w:val="1F3D6B"/>
          <w:sz w:val="21"/>
        </w:rPr>
        <w:t>Trigger &amp; target points to assess (to score competent)</w:t>
      </w:r>
    </w:p>
    <w:p>
      <w:pPr>
        <w:pStyle w:val="ListBullet"/>
        <w:spacing w:after="20"/>
      </w:pPr>
      <w:r>
        <w:rPr>
          <w:sz w:val="19"/>
        </w:rPr>
        <w:t>Management defends only 1 of the 5 indicators (probable collection) — the other four are left open; this is the marking hook.</w:t>
      </w:r>
    </w:p>
    <w:p>
      <w:pPr>
        <w:pStyle w:val="ListBullet"/>
        <w:spacing w:after="20"/>
      </w:pPr>
      <w:r>
        <w:rPr>
          <w:sz w:val="19"/>
        </w:rPr>
        <w:t>Blind auction + reserve price + sale can be voided → the right to payment is not unconditional at award.</w:t>
      </w:r>
    </w:p>
    <w:p>
      <w:pPr>
        <w:pStyle w:val="ListBullet"/>
        <w:spacing w:after="20"/>
      </w:pPr>
      <w:r>
        <w:rPr>
          <w:sz w:val="19"/>
        </w:rPr>
        <w:t>Diamante keeps physical possession after award pending collection/export → possession and risk of loss point later than award.</w:t>
      </w:r>
    </w:p>
    <w:p>
      <w:pPr>
        <w:pStyle w:val="ListBullet"/>
        <w:spacing w:after="20"/>
      </w:pPr>
      <w:r>
        <w:rPr>
          <w:sz w:val="19"/>
        </w:rPr>
        <w:t>Buyers view the parcel before bidding → argue BOTH sides of customer acceptance (arguably at award vs only on collection).</w:t>
      </w:r>
    </w:p>
    <w:p>
      <w:pPr>
        <w:pStyle w:val="ListBullet"/>
        <w:spacing w:after="20"/>
      </w:pPr>
      <w:r>
        <w:rPr>
          <w:sz w:val="19"/>
        </w:rPr>
        <w:t>Export documentation → legal title likely passes on export/collection, not award.</w:t>
      </w:r>
    </w:p>
    <w:p>
      <w:pPr>
        <w:pStyle w:val="ListBullet"/>
        <w:spacing w:after="20"/>
      </w:pPr>
      <w:r>
        <w:rPr>
          <w:sz w:val="19"/>
        </w:rPr>
        <w:t>7 tenders a year and auctions near 30 June → specific cut-off / occurrence risk.</w:t>
      </w:r>
    </w:p>
    <w:p>
      <w:pPr>
        <w:pStyle w:val="ListBullet"/>
        <w:spacing w:after="20"/>
      </w:pPr>
      <w:r>
        <w:rPr>
          <w:sz w:val="19"/>
        </w:rPr>
        <w:t>Consistent losses + refinancing pressure → motive → ethics and quality-of-earnings angle.</w:t>
      </w:r>
    </w:p>
    <w:p>
      <w:pPr>
        <w:spacing w:before="140" w:after="40"/>
      </w:pPr>
      <w:r>
        <w:rPr>
          <w:b/>
          <w:color w:val="1F3D6B"/>
          <w:sz w:val="21"/>
        </w:rPr>
        <w:t>On the day: what may be given → how to apply it → the direction your answer 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2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May be given on the day</w:t>
            </w:r>
          </w:p>
        </w:tc>
        <w:tc>
          <w:tcPr>
            <w:tcW w:type="dxa" w:w="374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→ How to apply it / what to look for</w:t>
            </w:r>
          </w:p>
        </w:tc>
        <w:tc>
          <w:tcPr>
            <w:tcW w:type="dxa" w:w="417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→ Direction your answer then takes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7"/>
              </w:rPr>
              <w:t>The actual tender terms &amp; conditions / sale contract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Look for when legal title passes, who bears risk of loss in storage, and whether the sale can still be voided after award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7"/>
              </w:rPr>
              <w:t>If title &amp; risk pass and payment is unconditional at award → defend the award date. If risk/title stay with Diamante until collection → confirm award is premature → recognise on collection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7"/>
              </w:rPr>
              <w:t>Export / delivery (Incoterms) terms — FOB, CIF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FOB shipping point = control on dispatch; FOB destination/“delivered” = control on delivery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7"/>
              </w:rPr>
              <w:t>Pin the exact recognition date to the Incoterm and rewrite the conclusion around that date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7"/>
              </w:rPr>
              <w:t>Insurance arrangement for diamonds in storage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Identify who insures/bears the risk between award and collection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7"/>
              </w:rPr>
              <w:t>If Diamante insures/bears risk → risks &amp; rewards not passed → later date. If the buyer does → supports earlier transfer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7"/>
              </w:rPr>
              <w:t>A specific late-June tender awarded, delivered in July + the rand amount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Test cut-off: did control transfer before 30 June?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7"/>
              </w:rPr>
              <w:t>If criteria unmet → it is next-year revenue → propose a cut-off adjustment and quantify the overstatement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7"/>
              </w:rPr>
              <w:t>Payment terms (deposit on award, balance on collection)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Assess whether there is a present right to the FULL price at award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7"/>
              </w:rPr>
              <w:t>Partial/again conditional right → weakens the award date → lean toward collection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7"/>
              </w:rPr>
              <w:t>Whether a sale can be voided post-award (failed AML / non-payment)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If it can be undone, the right to payment is conditional</w:t>
            </w:r>
          </w:p>
        </w:tc>
        <w:tc>
          <w:tcPr>
            <w:tcW w:type="dxa" w:w="4176"/>
          </w:tcPr>
          <w:p>
            <w:pPr>
              <w:spacing w:after="20"/>
            </w:pPr>
            <w:r/>
            <w:r>
              <w:rPr>
                <w:sz w:val="17"/>
              </w:rPr>
              <w:t>Conditional right → control not passed at award → later date; also a Step 1 “probable collection” point</w:t>
            </w:r>
          </w:p>
        </w:tc>
      </w:tr>
    </w:tbl>
    <w:p>
      <w:pPr>
        <w:spacing w:before="220" w:after="60"/>
        <w:shd w:val="clear" w:fill="1f5b3a"/>
      </w:pPr>
      <w:r>
        <w:rPr>
          <w:b/>
          <w:color w:val="FFFFFF"/>
          <w:sz w:val="25"/>
        </w:rPr>
        <w:t>Likely Q2 — Calculation: transaction price / variable consideration / principal vs agent (numbers on the day)  ·  Ref: IFRS 15 Step 3 &amp; principal-vs-agent</w:t>
      </w:r>
    </w:p>
    <w:p>
      <w:pPr>
        <w:spacing w:before="140" w:after="40"/>
      </w:pPr>
      <w:r>
        <w:rPr>
          <w:b/>
          <w:color w:val="1F5B3A"/>
          <w:sz w:val="21"/>
        </w:rPr>
        <w:t>Best answer approach — step by step (APC)</w:t>
      </w:r>
    </w:p>
    <w:p>
      <w:pPr>
        <w:pStyle w:val="ListNumber"/>
        <w:spacing w:after="20"/>
      </w:pPr>
      <w:r>
        <w:rPr>
          <w:b/>
          <w:sz w:val="19"/>
        </w:rPr>
        <w:t>Read the requirement &amp; the numbers first.</w:t>
      </w:r>
      <w:r>
        <w:rPr>
          <w:sz w:val="19"/>
        </w:rPr>
        <w:t xml:space="preserve"> Identify which sub-issue the figures relate to — a deferred payment, a rare diamond via an auction house, or a profit-share — then answer that, don’t do a full 5-step essay.</w:t>
      </w:r>
    </w:p>
    <w:p>
      <w:pPr>
        <w:pStyle w:val="ListNumber"/>
        <w:spacing w:after="20"/>
      </w:pPr>
      <w:r>
        <w:rPr>
          <w:b/>
          <w:sz w:val="19"/>
        </w:rPr>
        <w:t>Start the transaction price at the winning bid (Step 3).</w:t>
      </w:r>
      <w:r>
        <w:rPr>
          <w:sz w:val="19"/>
        </w:rPr>
        <w:t xml:space="preserve"> Then adjust it for the specific features below.</w:t>
      </w:r>
    </w:p>
    <w:p>
      <w:pPr>
        <w:pStyle w:val="ListNumber"/>
        <w:spacing w:after="20"/>
      </w:pPr>
      <w:r>
        <w:rPr>
          <w:b/>
          <w:sz w:val="19"/>
        </w:rPr>
        <w:t>Significant financing component.</w:t>
      </w:r>
      <w:r>
        <w:rPr>
          <w:sz w:val="19"/>
        </w:rPr>
        <w:t xml:space="preserve"> If payment is deferred well beyond the delivery, discount the price to present value at the buyer’s rate; the difference is interest income recognised over time, not revenue.</w:t>
      </w:r>
    </w:p>
    <w:p>
      <w:pPr>
        <w:pStyle w:val="ListNumber"/>
        <w:spacing w:after="20"/>
      </w:pPr>
      <w:r>
        <w:rPr>
          <w:b/>
          <w:sz w:val="19"/>
        </w:rPr>
        <w:t>Variable consideration.</w:t>
      </w:r>
      <w:r>
        <w:rPr>
          <w:sz w:val="19"/>
        </w:rPr>
        <w:t xml:space="preserve"> For profit-share / contingent / quality-adjustment terms, estimate using expected value (a range of outcomes) or most-likely amount (a binary outcome).</w:t>
      </w:r>
    </w:p>
    <w:p>
      <w:pPr>
        <w:pStyle w:val="ListNumber"/>
        <w:spacing w:after="20"/>
      </w:pPr>
      <w:r>
        <w:rPr>
          <w:b/>
          <w:sz w:val="19"/>
        </w:rPr>
        <w:t>Apply the constraint.</w:t>
      </w:r>
      <w:r>
        <w:rPr>
          <w:sz w:val="19"/>
        </w:rPr>
        <w:t xml:space="preserve"> Include variable consideration only to the extent it is highly probable a significant reversal will not occur — often recognise the fixed base now and the contingent part later.</w:t>
      </w:r>
    </w:p>
    <w:p>
      <w:pPr>
        <w:pStyle w:val="ListNumber"/>
        <w:spacing w:after="20"/>
      </w:pPr>
      <w:r>
        <w:rPr>
          <w:b/>
          <w:sz w:val="19"/>
        </w:rPr>
        <w:t>Forex (IAS 21).</w:t>
      </w:r>
      <w:r>
        <w:rPr>
          <w:sz w:val="19"/>
        </w:rPr>
        <w:t xml:space="preserve"> Translate the USD price at the spot rate on the date control transfers; flag if a bid-date rate is used instead (ties back to Q1).</w:t>
      </w:r>
    </w:p>
    <w:p>
      <w:pPr>
        <w:pStyle w:val="ListNumber"/>
        <w:spacing w:after="20"/>
      </w:pPr>
      <w:r>
        <w:rPr>
          <w:b/>
          <w:sz w:val="19"/>
        </w:rPr>
        <w:t>Principal vs agent (if an auction house is involved).</w:t>
      </w:r>
      <w:r>
        <w:rPr>
          <w:sz w:val="19"/>
        </w:rPr>
        <w:t xml:space="preserve"> Test who controls the stone before transfer (IFRS 15.B37: controls the good, inventory risk, pricing discretion, fulfilment) → Diamante is likely the PRINCIPAL for normal sales (gross revenue, commission as expense); only an AGENT (net commission) if it merely facilitates.</w:t>
      </w:r>
    </w:p>
    <w:p>
      <w:pPr>
        <w:pStyle w:val="ListNumber"/>
        <w:spacing w:after="20"/>
      </w:pPr>
      <w:r>
        <w:rPr>
          <w:b/>
          <w:sz w:val="19"/>
        </w:rPr>
        <w:t>Show clean workings &amp; the journal.</w:t>
      </w:r>
      <w:r>
        <w:rPr>
          <w:sz w:val="19"/>
        </w:rPr>
        <w:t xml:space="preserve"> State assumptions, present the calculation, and give the gross-vs-net journal where principal/agent applies; conclude with the revenue amount and period.</w:t>
      </w:r>
    </w:p>
    <w:p>
      <w:pPr>
        <w:spacing w:before="140" w:after="40"/>
      </w:pPr>
      <w:r>
        <w:rPr>
          <w:b/>
          <w:color w:val="1F5B3A"/>
          <w:sz w:val="21"/>
        </w:rPr>
        <w:t>Trigger &amp; target points to assess</w:t>
      </w:r>
    </w:p>
    <w:p>
      <w:pPr>
        <w:pStyle w:val="ListBullet"/>
        <w:spacing w:after="20"/>
      </w:pPr>
      <w:r>
        <w:rPr>
          <w:sz w:val="19"/>
        </w:rPr>
        <w:t>Deferred payment beyond ~12 months → significant financing component → split revenue (PV) from interest income.</w:t>
      </w:r>
    </w:p>
    <w:p>
      <w:pPr>
        <w:pStyle w:val="ListBullet"/>
        <w:spacing w:after="20"/>
      </w:pPr>
      <w:r>
        <w:rPr>
          <w:sz w:val="19"/>
        </w:rPr>
        <w:t>Rare diamond via Sotheby’s/Christie’s → principal-vs-agent → usually still principal unless the house takes control of the stone.</w:t>
      </w:r>
    </w:p>
    <w:p>
      <w:pPr>
        <w:pStyle w:val="ListBullet"/>
        <w:spacing w:after="20"/>
      </w:pPr>
      <w:r>
        <w:rPr>
          <w:sz w:val="19"/>
        </w:rPr>
        <w:t>Commission quoted → decide gross (principal) vs net (agent) presentation and show BOTH journals.</w:t>
      </w:r>
    </w:p>
    <w:p>
      <w:pPr>
        <w:pStyle w:val="ListBullet"/>
        <w:spacing w:after="20"/>
      </w:pPr>
      <w:r>
        <w:rPr>
          <w:sz w:val="19"/>
        </w:rPr>
        <w:t>Profit-share on the later polished sale → variable consideration + the constraint.</w:t>
      </w:r>
    </w:p>
    <w:p>
      <w:pPr>
        <w:pStyle w:val="ListBullet"/>
        <w:spacing w:after="20"/>
      </w:pPr>
      <w:r>
        <w:rPr>
          <w:sz w:val="19"/>
        </w:rPr>
        <w:t>USD price but ZAR functional currency → translate at the control date; watch which date is used.</w:t>
      </w:r>
    </w:p>
    <w:p>
      <w:pPr>
        <w:pStyle w:val="ListBullet"/>
        <w:spacing w:after="20"/>
      </w:pPr>
      <w:r>
        <w:rPr>
          <w:sz w:val="19"/>
        </w:rPr>
        <w:t>“Most likely” for a single binary outcome; “expected value” for a range of possible outcomes.</w:t>
      </w:r>
    </w:p>
    <w:p>
      <w:pPr>
        <w:spacing w:before="140" w:after="40"/>
      </w:pPr>
      <w:r>
        <w:rPr>
          <w:b/>
          <w:color w:val="1F5B3A"/>
          <w:sz w:val="21"/>
        </w:rPr>
        <w:t>On the day: what may be given → how to apply it → the direction your answer 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664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May be given on the day</w:t>
            </w:r>
          </w:p>
        </w:tc>
        <w:tc>
          <w:tcPr>
            <w:tcW w:type="dxa" w:w="3672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→ How to apply it / what to look for</w:t>
            </w:r>
          </w:p>
        </w:tc>
        <w:tc>
          <w:tcPr>
            <w:tcW w:type="dxa" w:w="4104"/>
            <w:shd w:val="clear" w:fill="1f5b3a"/>
          </w:tcPr>
          <w:p>
            <w:r/>
            <w:r>
              <w:rPr>
                <w:b/>
                <w:color w:val="FFFFFF"/>
                <w:sz w:val="17"/>
              </w:rPr>
              <w:t>→ Direction your answer then takes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7"/>
              </w:rPr>
              <w:t>Split payment terms (e.g. R X now, R Y in 18 months) and/or an interest rate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7"/>
              </w:rPr>
              <w:t>Apply a significant financing component: discount the deferred amount to PV at the buyer’s rate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Revenue = PV of the total; the unwinding is interest income over time. If the rate is not given, state a reasonable assumption and use it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7"/>
              </w:rPr>
              <w:t>An auction-house agreement (commission %, who markets, whose name, who bears risk)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7"/>
              </w:rPr>
              <w:t>Run the principal-vs-agent test on who controls the stone first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If Diamante controls until sold → principal → gross revenue + commission expense. If the house takes control/title → agent → net commission only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7"/>
              </w:rPr>
              <w:t>A profit-share / contingent clause (e.g. +X% if the polished stone sells above $Z)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7"/>
              </w:rPr>
              <w:t>Treat as variable consideration; estimate (expected value or most-likely) then constrain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Recognise the fixed base now; recognise the contingent portion only when highly probable not to reverse — usually later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7"/>
              </w:rPr>
              <w:t>Spot USD/ZAR at the control date vs the bid date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7"/>
              </w:rPr>
              <w:t>Use the control-date spot rate (IAS 21)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If only the bid-date rate is given, flag the mismatch and note the revenue effect of using the wrong date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7"/>
              </w:rPr>
              <w:t>A quality-adjustment / price-review clause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7"/>
              </w:rPr>
              <w:t>Variable consideration — estimate and constrain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Adjust the transaction price for the expected outcome, not the headline bid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/>
            <w:r>
              <w:rPr>
                <w:sz w:val="17"/>
              </w:rPr>
              <w:t>Non-cash consideration (e.g. a share of the polished stones)</w:t>
            </w:r>
          </w:p>
        </w:tc>
        <w:tc>
          <w:tcPr>
            <w:tcW w:type="dxa" w:w="3672"/>
          </w:tcPr>
          <w:p>
            <w:pPr>
              <w:spacing w:after="20"/>
            </w:pPr>
            <w:r/>
            <w:r>
              <w:rPr>
                <w:sz w:val="17"/>
              </w:rPr>
              <w:t>Measure non-cash consideration at fair value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Transaction price = cash + fair value of the non-cash portion at contract inception</w:t>
            </w:r>
          </w:p>
        </w:tc>
      </w:tr>
    </w:tbl>
    <w:p>
      <w:pPr>
        <w:spacing w:before="220" w:after="60"/>
        <w:shd w:val="clear" w:fill="5b3a8a"/>
      </w:pPr>
      <w:r>
        <w:rPr>
          <w:b/>
          <w:color w:val="FFFFFF"/>
          <w:sz w:val="25"/>
        </w:rPr>
        <w:t>Likely Q3 — Bill-and-hold assessment  ·  Ref: IFRS 15 B79–B82</w:t>
      </w:r>
    </w:p>
    <w:p>
      <w:pPr>
        <w:spacing w:before="140" w:after="40"/>
      </w:pPr>
      <w:r>
        <w:rPr>
          <w:b/>
          <w:color w:val="5B3A8A"/>
          <w:sz w:val="21"/>
        </w:rPr>
        <w:t>Best answer approach — step by step (APC)</w:t>
      </w:r>
    </w:p>
    <w:p>
      <w:pPr>
        <w:pStyle w:val="ListNumber"/>
        <w:spacing w:after="20"/>
      </w:pPr>
      <w:r>
        <w:rPr>
          <w:b/>
          <w:sz w:val="19"/>
        </w:rPr>
        <w:t>State when bill-and-hold arises here.</w:t>
      </w:r>
      <w:r>
        <w:rPr>
          <w:sz w:val="19"/>
        </w:rPr>
        <w:t xml:space="preserve"> A tender is awarded before 30 June but the diamonds stay in Diamante’s possession pending collection, export clearance or customer instructions.</w:t>
      </w:r>
    </w:p>
    <w:p>
      <w:pPr>
        <w:pStyle w:val="ListNumber"/>
        <w:spacing w:after="20"/>
      </w:pPr>
      <w:r>
        <w:rPr>
          <w:b/>
          <w:sz w:val="19"/>
        </w:rPr>
        <w:t>Set the default rule.</w:t>
      </w:r>
      <w:r>
        <w:rPr>
          <w:sz w:val="19"/>
        </w:rPr>
        <w:t xml:space="preserve"> Retaining possession does NOT automatically bar revenue — but management must PROVE control transferred despite no physical delivery.</w:t>
      </w:r>
    </w:p>
    <w:p>
      <w:pPr>
        <w:pStyle w:val="ListNumber"/>
        <w:spacing w:after="20"/>
      </w:pPr>
      <w:r>
        <w:rPr>
          <w:b/>
          <w:sz w:val="19"/>
        </w:rPr>
        <w:t>Apply the four B81 criteria one by one to Diamante.</w:t>
      </w:r>
      <w:r>
        <w:rPr>
          <w:sz w:val="19"/>
        </w:rPr>
        <w:t xml:space="preserve"> (a) a substantive reason for the arrangement; (b) the parcel is separately identified as the customer’s; (c) it is ready for immediate transfer; (d) Diamante cannot use it or redirect it to another customer.</w:t>
      </w:r>
    </w:p>
    <w:p>
      <w:pPr>
        <w:pStyle w:val="ListNumber"/>
        <w:spacing w:after="20"/>
      </w:pPr>
      <w:r>
        <w:rPr>
          <w:b/>
          <w:sz w:val="19"/>
        </w:rPr>
        <w:t>Conclude on control.</w:t>
      </w:r>
      <w:r>
        <w:rPr>
          <w:sz w:val="19"/>
        </w:rPr>
        <w:t xml:space="preserve"> If all four are met → revenue may be recognised at the bill/award date. If any fails → control has NOT transferred → defer revenue → a cut-off adjustment.</w:t>
      </w:r>
    </w:p>
    <w:p>
      <w:pPr>
        <w:pStyle w:val="ListNumber"/>
        <w:spacing w:after="20"/>
      </w:pPr>
      <w:r>
        <w:rPr>
          <w:b/>
          <w:sz w:val="19"/>
        </w:rPr>
        <w:t>Separate the storage/custody service.</w:t>
      </w:r>
      <w:r>
        <w:rPr>
          <w:sz w:val="19"/>
        </w:rPr>
        <w:t xml:space="preserve"> If Diamante provides genuine storage and security, that may be a separate performance obligation → allocate part of the transaction price to it.</w:t>
      </w:r>
    </w:p>
    <w:p>
      <w:pPr>
        <w:pStyle w:val="ListNumber"/>
        <w:spacing w:after="20"/>
      </w:pPr>
      <w:r>
        <w:rPr>
          <w:b/>
          <w:sz w:val="19"/>
        </w:rPr>
        <w:t>Link to Q1 and to ethics.</w:t>
      </w:r>
      <w:r>
        <w:rPr>
          <w:sz w:val="19"/>
        </w:rPr>
        <w:t xml:space="preserve"> This is the same “physical possession” indicator from Q1; the refinancing motive to recognise early means apply scepticism.</w:t>
      </w:r>
    </w:p>
    <w:p>
      <w:pPr>
        <w:spacing w:before="140" w:after="40"/>
      </w:pPr>
      <w:r>
        <w:rPr>
          <w:b/>
          <w:color w:val="5B3A8A"/>
          <w:sz w:val="21"/>
        </w:rPr>
        <w:t>Trigger &amp; target points to assess</w:t>
      </w:r>
    </w:p>
    <w:p>
      <w:pPr>
        <w:pStyle w:val="ListBullet"/>
        <w:spacing w:after="20"/>
      </w:pPr>
      <w:r>
        <w:rPr>
          <w:sz w:val="19"/>
        </w:rPr>
        <w:t>30 June year-end + tenders won near year-end → the timing trigger for the whole issue.</w:t>
      </w:r>
    </w:p>
    <w:p>
      <w:pPr>
        <w:pStyle w:val="ListBullet"/>
        <w:spacing w:after="20"/>
      </w:pPr>
      <w:r>
        <w:rPr>
          <w:sz w:val="19"/>
        </w:rPr>
        <w:t>The reason for holding: a customer request is a substantive reason; a Diamante logistics/export delay is NOT → fails criterion (a).</w:t>
      </w:r>
    </w:p>
    <w:p>
      <w:pPr>
        <w:pStyle w:val="ListBullet"/>
        <w:spacing w:after="20"/>
      </w:pPr>
      <w:r>
        <w:rPr>
          <w:sz w:val="19"/>
        </w:rPr>
        <w:t>Whether parcels are segregated and labelled per customer → the identification criterion (b).</w:t>
      </w:r>
    </w:p>
    <w:p>
      <w:pPr>
        <w:pStyle w:val="ListBullet"/>
        <w:spacing w:after="20"/>
      </w:pPr>
      <w:r>
        <w:rPr>
          <w:sz w:val="19"/>
        </w:rPr>
        <w:t>Whether Diamante could re-tender or use the parcel → if yes, criterion (d) fails → no transfer.</w:t>
      </w:r>
    </w:p>
    <w:p>
      <w:pPr>
        <w:pStyle w:val="ListBullet"/>
        <w:spacing w:after="20"/>
      </w:pPr>
      <w:r>
        <w:rPr>
          <w:sz w:val="19"/>
        </w:rPr>
        <w:t>Storage and security costs mentioned in the pack → points to a separate service PO and to who bears risk.</w:t>
      </w:r>
    </w:p>
    <w:p>
      <w:pPr>
        <w:pStyle w:val="ListBullet"/>
        <w:spacing w:after="20"/>
      </w:pPr>
      <w:r>
        <w:rPr>
          <w:sz w:val="19"/>
        </w:rPr>
        <w:t>Motive from refinancing/losses → early-recognition risk → scepticism.</w:t>
      </w:r>
    </w:p>
    <w:p>
      <w:pPr>
        <w:spacing w:before="140" w:after="40"/>
      </w:pPr>
      <w:r>
        <w:rPr>
          <w:b/>
          <w:color w:val="5B3A8A"/>
          <w:sz w:val="21"/>
        </w:rPr>
        <w:t>On the day: what may be given → how to apply it → the direction your answer 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736"/>
            <w:shd w:val="clear" w:fill="5b3a8a"/>
          </w:tcPr>
          <w:p>
            <w:r/>
            <w:r>
              <w:rPr>
                <w:b/>
                <w:color w:val="FFFFFF"/>
                <w:sz w:val="17"/>
              </w:rPr>
              <w:t>May be given on the day</w:t>
            </w:r>
          </w:p>
        </w:tc>
        <w:tc>
          <w:tcPr>
            <w:tcW w:type="dxa" w:w="3600"/>
            <w:shd w:val="clear" w:fill="5b3a8a"/>
          </w:tcPr>
          <w:p>
            <w:r/>
            <w:r>
              <w:rPr>
                <w:b/>
                <w:color w:val="FFFFFF"/>
                <w:sz w:val="17"/>
              </w:rPr>
              <w:t>→ How to apply it / what to look for</w:t>
            </w:r>
          </w:p>
        </w:tc>
        <w:tc>
          <w:tcPr>
            <w:tcW w:type="dxa" w:w="4104"/>
            <w:shd w:val="clear" w:fill="5b3a8a"/>
          </w:tcPr>
          <w:p>
            <w:r/>
            <w:r>
              <w:rPr>
                <w:b/>
                <w:color w:val="FFFFFF"/>
                <w:sz w:val="17"/>
              </w:rPr>
              <w:t>→ Direction your answer then takes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Evidence of WHO requested the hold (email / contract clause)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Test the “substantive reason” criterion (a)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Customer-requested → criterion met → lean toward recognising. Diamante-driven (export/logistics delay) → fails → defer the revenue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Evidence of segregation (labelled vaults, per-buyer parcel IDs)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Test the “separately identified” criterion (b)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Segregated &amp; identified → met. Pooled/mixed with other stock → fails → no transfer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Whether Diamante can redirect / on-sell the parcel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Test the “cannot use or redirect” criterion (d)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If it could be re-tendered → control not transferred → defer. If ring-fenced for that buyer → supports transfer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Who bears risk of loss &amp; who insures during the hold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Corroborates whether control really passed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Buyer bears risk → supports recognition. Diamante bears risk → against — defer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Whether a storage fee is charged separately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Identify a separate performance obligation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Charged → allocate part of the price to the storage service and recognise it over the storage period; free → likely no genuine bill-and-hold service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7"/>
              </w:rPr>
              <w:t>A specific pre-year-end tender value held at 30 June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sz w:val="17"/>
              </w:rPr>
              <w:t>Quantify the revenue at risk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7"/>
              </w:rPr>
              <w:t>If criteria are unmet and it is material → defer to the next year and propose the cut-off adjustment</w:t>
            </w:r>
          </w:p>
        </w:tc>
      </w:tr>
    </w:tbl>
    <w:p>
      <w:r>
        <w:br w:type="page"/>
      </w:r>
    </w:p>
    <w:p>
      <w:r>
        <w:rPr>
          <w:b/>
          <w:color w:val="1F3D6B"/>
          <w:sz w:val="25"/>
        </w:rPr>
        <w:t>IAC worked examples you can lean on (IFRS 15 — Transfer of Control)</w:t>
      </w:r>
    </w:p>
    <w:p>
      <w:pPr>
        <w:spacing w:after="80"/>
      </w:pPr>
      <w:r>
        <w:rPr>
          <w:i/>
          <w:sz w:val="18"/>
        </w:rPr>
        <w:t>From your IAC IFRS 15 “Transfer of Control” notes — ready analogies to cite and adapt to Diamante on the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IAC example</w:t>
            </w:r>
          </w:p>
        </w:tc>
        <w:tc>
          <w:tcPr>
            <w:tcW w:type="dxa" w:w="4392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The rule it demonstrates</w:t>
            </w:r>
          </w:p>
        </w:tc>
        <w:tc>
          <w:tcPr>
            <w:tcW w:type="dxa" w:w="374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How to use it for Diamante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B2 — FOB shipping point vs FOB destination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7"/>
              </w:rPr>
              <w:t>The delivery term (Incoterm) decides the date control and revenue transfer — shipping point = on dispatch; destination = on delivery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Use it in Q1 to pin the exact date once the export terms are given — this is the cleanest way to defeat or defend the award date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B3 — Machine needing installation &amp; customer acceptance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7"/>
              </w:rPr>
              <w:t>If customer acceptance is substantive (not a formality), control transfers only on acceptance, not on delivery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Use it in Q1 for the “customer acceptance” indicator — argue acceptance is only finalised on collection/inspection, so award is premature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C2 — Bill-and-hold (sold but not yet shipped)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7"/>
              </w:rPr>
              <w:t>Control can pass before shipment only if there is a substantive reason, goods are identified as the customer’s, ready for transfer, and the seller cannot use/redirect them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Use it directly in Q3 — these are the exact four criteria to apply to the parcels held at 30 June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C1 — Consignment stock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7"/>
              </w:rPr>
              <w:t>Holding the goods does NOT mean control has passed — the dealer does not control consigned stock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Use it in Q3 to make the point that Diamante holding the diamonds is not, by itself, evidence that control transferred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C5 — Principal vs agent (who controls the good first?)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7"/>
              </w:rPr>
              <w:t>Controls the good before transfer (inventory/pricing/fulfilment risk) → principal → gross; merely arranges → agent → net commission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Use it in Q2 for the auction-house scenario — conclude principal (gross) unless the house takes control of the stone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Exam approach (5 moves)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7"/>
              </w:rPr>
              <w:t>Identify the PO → test the 3 over-time criteria → if none, weigh the 5 point-in-time indicators → watch the traps (consignment, bill-and-hold, repurchase, right of return, agent) → conclude with the DATE and the AMOUNT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7"/>
              </w:rPr>
              <w:t>Use it as your opening structure for ANY “when/how much revenue” requirement — always say “control transfers when…” and justify with the criterion/indicator</w:t>
            </w:r>
          </w:p>
        </w:tc>
      </w:tr>
    </w:tbl>
    <w:p>
      <w:pPr>
        <w:spacing w:after="80"/>
      </w:pPr>
      <w:r>
        <w:rPr>
          <w:i/>
          <w:sz w:val="17"/>
        </w:rPr>
        <w:t>Golden rule to state up front in any revenue answer: revenue follows control (IFRS 15.33), not risks and rewards alone — risks and rewards is only one of the five point-in-time indicators.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