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8"/>
        </w:rPr>
        <w:t>Residual Income, Economic Value Added &amp; Free Cash Flow — Summary for Evaluating Incentive Schemes</w:t>
      </w:r>
    </w:p>
    <w:p>
      <w:pPr>
        <w:spacing w:after="80"/>
      </w:pPr>
      <w:r>
        <w:rPr>
          <w:i/>
          <w:sz w:val="18"/>
        </w:rPr>
        <w:t>Based on the IAC MAF performance-evaluation notes (residual income and economic value added) and the free cash flow method. These three measures are the value- and cash-based alternatives you would use to redesign or evaluate an incentive scheme (for example Diamante’s), because they reward real value creation rather than accounting profit or a percentage return. Amounts are illustrative unless stated.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1. The building blocks (used by residual income and EVA)</w:t>
      </w:r>
    </w:p>
    <w:p>
      <w:pPr>
        <w:spacing w:before="100" w:after="20"/>
      </w:pPr>
      <w:r>
        <w:rPr>
          <w:b/>
          <w:color w:val="1F3D6B"/>
          <w:sz w:val="22"/>
        </w:rPr>
        <w:t>NOPAT (net operating profit after tax)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ef2f8"/>
          </w:tcPr>
          <w:p>
            <w:r/>
            <w:r>
              <w:rPr>
                <w:b/>
                <w:sz w:val="20"/>
              </w:rPr>
              <w:t xml:space="preserve">Formula:  </w:t>
            </w:r>
            <w:r>
              <w:rPr>
                <w:sz w:val="20"/>
              </w:rPr>
              <w:t>NOPAT = operating profit × (1 − tax rate);  or, if profit before tax is given, NOPAT = (profit before tax + interest) × (1 − tax rate)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NOPAT is profit before the effect of gearing (interest), stated after tax.</w:t>
      </w:r>
    </w:p>
    <w:p>
      <w:pPr>
        <w:pStyle w:val="ListBullet"/>
        <w:spacing w:after="60"/>
      </w:pPr>
      <w:r>
        <w:rPr>
          <w:sz w:val="20"/>
        </w:rPr>
        <w:t>It is used so that the measure reflects operating performance and not the financing mix.</w:t>
      </w:r>
    </w:p>
    <w:p>
      <w:pPr>
        <w:pStyle w:val="ListBullet"/>
        <w:spacing w:after="60"/>
      </w:pPr>
      <w:r>
        <w:rPr>
          <w:sz w:val="20"/>
        </w:rPr>
        <w:t>The MAF notes use a factor of 72% (a 28% tax rate); at the current 27% rate the factor is 73%.</w:t>
      </w:r>
    </w:p>
    <w:p>
      <w:pPr>
        <w:spacing w:before="100" w:after="20"/>
      </w:pPr>
      <w:r>
        <w:rPr>
          <w:b/>
          <w:color w:val="1F3D6B"/>
          <w:sz w:val="22"/>
        </w:rPr>
        <w:t>Net investment (the capital employed)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ef2f8"/>
          </w:tcPr>
          <w:p>
            <w:r/>
            <w:r>
              <w:rPr>
                <w:b/>
                <w:sz w:val="20"/>
              </w:rPr>
              <w:t xml:space="preserve">Formula:  </w:t>
            </w:r>
            <w:r>
              <w:rPr>
                <w:sz w:val="20"/>
              </w:rPr>
              <w:t>Net investment = Total assets − current liabilities;  or  Net investment = Equity + long-term liabilities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Only permanent sources of finance are included in net investment.</w:t>
      </w:r>
    </w:p>
    <w:p>
      <w:pPr>
        <w:pStyle w:val="ListBullet"/>
        <w:spacing w:after="60"/>
      </w:pPr>
      <w:r>
        <w:rPr>
          <w:sz w:val="20"/>
        </w:rPr>
        <w:t>The current portion of a long-term liability is therefore excluded from current liabilities.</w:t>
      </w:r>
    </w:p>
    <w:p>
      <w:pPr>
        <w:pStyle w:val="ListBullet"/>
        <w:spacing w:after="60"/>
      </w:pPr>
      <w:r>
        <w:rPr>
          <w:sz w:val="20"/>
        </w:rPr>
        <w:t>Whether an item such as an overdraft is permanent depends on the nature of the business.</w:t>
      </w:r>
    </w:p>
    <w:p>
      <w:pPr>
        <w:pStyle w:val="ListBullet"/>
        <w:spacing w:after="60"/>
      </w:pPr>
      <w:r>
        <w:rPr>
          <w:sz w:val="20"/>
        </w:rPr>
        <w:t>When evaluating an individual manager, allocated costs such as head-office costs are excluded, because they are not controllable.</w:t>
      </w:r>
    </w:p>
    <w:p>
      <w:pPr>
        <w:pStyle w:val="ListBullet"/>
        <w:spacing w:after="60"/>
      </w:pPr>
      <w:r>
        <w:rPr>
          <w:sz w:val="20"/>
        </w:rPr>
        <w:t>When evaluating a division as a stand-alone unit, those allocated costs are included.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2. Residual Income (RI)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ef2f8"/>
          </w:tcPr>
          <w:p>
            <w:r/>
            <w:r>
              <w:rPr>
                <w:b/>
                <w:sz w:val="20"/>
              </w:rPr>
              <w:t xml:space="preserve">Formula:  </w:t>
            </w:r>
            <w:r>
              <w:rPr>
                <w:sz w:val="20"/>
              </w:rPr>
              <w:t>RI = NOPAT − (WACC × net investment)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Inputs</w:t>
      </w:r>
    </w:p>
    <w:p>
      <w:pPr>
        <w:pStyle w:val="ListBullet"/>
        <w:spacing w:after="60"/>
      </w:pPr>
      <w:r>
        <w:rPr>
          <w:sz w:val="20"/>
        </w:rPr>
        <w:t>NOPAT, calculated as above.</w:t>
      </w:r>
    </w:p>
    <w:p>
      <w:pPr>
        <w:pStyle w:val="ListBullet"/>
        <w:spacing w:after="60"/>
      </w:pPr>
      <w:r>
        <w:rPr>
          <w:sz w:val="20"/>
        </w:rPr>
        <w:t>The weighted average cost of capital (WACC), which can be risk-adjusted per division.</w:t>
      </w:r>
    </w:p>
    <w:p>
      <w:pPr>
        <w:pStyle w:val="ListBullet"/>
        <w:spacing w:after="60"/>
      </w:pPr>
      <w:r>
        <w:rPr>
          <w:sz w:val="20"/>
        </w:rPr>
        <w:t>Net investment (permanent capital), as above.</w:t>
      </w:r>
    </w:p>
    <w:p>
      <w:pPr>
        <w:spacing w:before="100" w:after="20"/>
      </w:pPr>
      <w:r>
        <w:rPr>
          <w:b/>
          <w:color w:val="1F3D6B"/>
          <w:sz w:val="22"/>
        </w:rPr>
        <w:t>Easy example</w:t>
      </w:r>
    </w:p>
    <w:p>
      <w:pPr>
        <w:pStyle w:val="ListBullet"/>
        <w:spacing w:after="60"/>
      </w:pPr>
      <w:r>
        <w:rPr>
          <w:sz w:val="20"/>
        </w:rPr>
        <w:t>A division earns NOPAT of R100 and uses R500 of capital, and the WACC is 10%.</w:t>
      </w:r>
    </w:p>
    <w:p>
      <w:pPr>
        <w:pStyle w:val="ListBullet"/>
        <w:spacing w:after="60"/>
      </w:pPr>
      <w:r>
        <w:rPr>
          <w:sz w:val="20"/>
        </w:rPr>
        <w:t>The capital charge is 10% × R500 = R50.</w:t>
      </w:r>
    </w:p>
    <w:p>
      <w:pPr>
        <w:pStyle w:val="ListBullet"/>
        <w:spacing w:after="60"/>
      </w:pPr>
      <w:r>
        <w:rPr>
          <w:sz w:val="20"/>
        </w:rPr>
        <w:t>Residual income is R100 − R50 = R50, which means the division created R50 of value above the cost of its capital.</w:t>
      </w:r>
    </w:p>
    <w:p>
      <w:pPr>
        <w:spacing w:before="100" w:after="20"/>
      </w:pPr>
      <w:r>
        <w:rPr>
          <w:b/>
          <w:color w:val="1F3D6B"/>
          <w:sz w:val="22"/>
        </w:rPr>
        <w:t>Why it is good for an incentive scheme</w:t>
      </w:r>
    </w:p>
    <w:p>
      <w:pPr>
        <w:pStyle w:val="ListBullet"/>
        <w:spacing w:after="60"/>
      </w:pPr>
      <w:r>
        <w:rPr>
          <w:sz w:val="20"/>
        </w:rPr>
        <w:t>It rewards any project or action that earns more than the cost of capital, so it encourages value-adding growth.</w:t>
      </w:r>
    </w:p>
    <w:p>
      <w:pPr>
        <w:pStyle w:val="ListBullet"/>
        <w:spacing w:after="60"/>
      </w:pPr>
      <w:r>
        <w:rPr>
          <w:sz w:val="20"/>
        </w:rPr>
        <w:t>It fixes the main flaw of return on investment, which can make a manager reject a good project because it lowers a high percentage return.</w:t>
      </w:r>
    </w:p>
    <w:p>
      <w:pPr>
        <w:pStyle w:val="ListBullet"/>
        <w:spacing w:after="60"/>
      </w:pPr>
      <w:r>
        <w:rPr>
          <w:sz w:val="20"/>
        </w:rPr>
        <w:t>A negative residual income clearly shows value is being destroyed, so a bonus is not warranted.</w:t>
      </w:r>
    </w:p>
    <w:p>
      <w:pPr>
        <w:spacing w:before="100" w:after="20"/>
      </w:pPr>
      <w:r>
        <w:rPr>
          <w:b/>
          <w:color w:val="1F3D6B"/>
          <w:sz w:val="22"/>
        </w:rPr>
        <w:t>Limitations</w:t>
      </w:r>
    </w:p>
    <w:p>
      <w:pPr>
        <w:pStyle w:val="ListBullet"/>
        <w:spacing w:after="60"/>
      </w:pPr>
      <w:r>
        <w:rPr>
          <w:sz w:val="20"/>
        </w:rPr>
        <w:t>It is an absolute rand figure, so it is harder to compare divisions of very different size.</w:t>
      </w:r>
    </w:p>
    <w:p>
      <w:pPr>
        <w:pStyle w:val="ListBullet"/>
        <w:spacing w:after="60"/>
      </w:pPr>
      <w:r>
        <w:rPr>
          <w:sz w:val="20"/>
        </w:rPr>
        <w:t>It still relies on accounting profit, which can be distorted by non-cash items.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3. Economic Value Added (EVA)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ef2f8"/>
          </w:tcPr>
          <w:p>
            <w:r/>
            <w:r>
              <w:rPr>
                <w:b/>
                <w:sz w:val="20"/>
              </w:rPr>
              <w:t xml:space="preserve">Formula:  </w:t>
            </w:r>
            <w:r>
              <w:rPr>
                <w:sz w:val="20"/>
              </w:rPr>
              <w:t>EVA = (NOPAT ± adjustments) − WACC × (net investment ± adjustments)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The adjustments (what makes EVA different from RI)</w:t>
      </w:r>
    </w:p>
    <w:p>
      <w:pPr>
        <w:pStyle w:val="ListBullet"/>
        <w:spacing w:after="60"/>
      </w:pPr>
      <w:r>
        <w:rPr>
          <w:sz w:val="20"/>
        </w:rPr>
        <w:t>Expenditure with an enduring benefit, such as a major marketing or research campaign, is capitalised and written off over the period the benefit lasts, rather than expensed at once.</w:t>
      </w:r>
    </w:p>
    <w:p>
      <w:pPr>
        <w:pStyle w:val="ListBullet"/>
        <w:spacing w:after="60"/>
      </w:pPr>
      <w:r>
        <w:rPr>
          <w:sz w:val="20"/>
        </w:rPr>
        <w:t>Operating-type leases are capitalised, with the asset added to net investment and the lease expense replaced by depreciation, discounted at the pre-tax cost of debt.</w:t>
      </w:r>
    </w:p>
    <w:p>
      <w:pPr>
        <w:pStyle w:val="ListBullet"/>
        <w:spacing w:after="60"/>
      </w:pPr>
      <w:r>
        <w:rPr>
          <w:sz w:val="20"/>
        </w:rPr>
        <w:t>Non-cash provisions and similar accounting items are often added back so the measure reflects economic rather than accounting reality.</w:t>
      </w:r>
    </w:p>
    <w:p>
      <w:pPr>
        <w:pStyle w:val="ListBullet"/>
        <w:spacing w:after="60"/>
      </w:pPr>
      <w:r>
        <w:rPr>
          <w:sz w:val="20"/>
        </w:rPr>
        <w:t>The WACC can be risk-adjusted for each division, so riskier divisions carry a higher capital charge.</w:t>
      </w:r>
    </w:p>
    <w:p>
      <w:pPr>
        <w:spacing w:before="100" w:after="20"/>
      </w:pPr>
      <w:r>
        <w:rPr>
          <w:b/>
          <w:color w:val="1F3D6B"/>
          <w:sz w:val="22"/>
        </w:rPr>
        <w:t>Easy example</w:t>
      </w:r>
    </w:p>
    <w:p>
      <w:pPr>
        <w:pStyle w:val="ListBullet"/>
        <w:spacing w:after="60"/>
      </w:pPr>
      <w:r>
        <w:rPr>
          <w:sz w:val="20"/>
        </w:rPr>
        <w:t>Start with the residual income example of R50.</w:t>
      </w:r>
    </w:p>
    <w:p>
      <w:pPr>
        <w:pStyle w:val="ListBullet"/>
        <w:spacing w:after="60"/>
      </w:pPr>
      <w:r>
        <w:rPr>
          <w:sz w:val="20"/>
        </w:rPr>
        <w:t>If the division also spent R40 on a brand campaign with a lasting benefit, EVA adds that R40 back into capital and writes it off over its useful life.</w:t>
      </w:r>
    </w:p>
    <w:p>
      <w:pPr>
        <w:pStyle w:val="ListBullet"/>
        <w:spacing w:after="60"/>
      </w:pPr>
      <w:r>
        <w:rPr>
          <w:sz w:val="20"/>
        </w:rPr>
        <w:t>This gives a truer picture of the value created, because the spending builds an asset rather than being a one-off cost.</w:t>
      </w:r>
    </w:p>
    <w:p>
      <w:pPr>
        <w:spacing w:before="100" w:after="20"/>
      </w:pPr>
      <w:r>
        <w:rPr>
          <w:b/>
          <w:color w:val="1F3D6B"/>
          <w:sz w:val="22"/>
        </w:rPr>
        <w:t>Why it is good for an incentive scheme</w:t>
      </w:r>
    </w:p>
    <w:p>
      <w:pPr>
        <w:pStyle w:val="ListBullet"/>
        <w:spacing w:after="60"/>
      </w:pPr>
      <w:r>
        <w:rPr>
          <w:sz w:val="20"/>
        </w:rPr>
        <w:t>It is designed specifically to measure value added to shareholders, so it aligns management directly with owners.</w:t>
      </w:r>
    </w:p>
    <w:p>
      <w:pPr>
        <w:pStyle w:val="ListBullet"/>
        <w:spacing w:after="60"/>
      </w:pPr>
      <w:r>
        <w:rPr>
          <w:sz w:val="20"/>
        </w:rPr>
        <w:t>The adjustments discourage short-term decisions, such as cutting marketing or research to boost this year’s profit.</w:t>
      </w:r>
    </w:p>
    <w:p>
      <w:pPr>
        <w:pStyle w:val="ListBullet"/>
        <w:spacing w:after="60"/>
      </w:pPr>
      <w:r>
        <w:rPr>
          <w:sz w:val="20"/>
        </w:rPr>
        <w:t>A bonus bank can be attached, where part of the EVA bonus is retained and forfeited in years when EVA is negative.</w:t>
      </w:r>
    </w:p>
    <w:p>
      <w:pPr>
        <w:spacing w:before="100" w:after="20"/>
      </w:pPr>
      <w:r>
        <w:rPr>
          <w:b/>
          <w:color w:val="1F3D6B"/>
          <w:sz w:val="22"/>
        </w:rPr>
        <w:t>Limitations</w:t>
      </w:r>
    </w:p>
    <w:p>
      <w:pPr>
        <w:pStyle w:val="ListBullet"/>
        <w:spacing w:after="60"/>
      </w:pPr>
      <w:r>
        <w:rPr>
          <w:sz w:val="20"/>
        </w:rPr>
        <w:t>The adjustments require judgement and can be complex.</w:t>
      </w:r>
    </w:p>
    <w:p>
      <w:pPr>
        <w:pStyle w:val="ListBullet"/>
        <w:spacing w:after="60"/>
      </w:pPr>
      <w:r>
        <w:rPr>
          <w:sz w:val="20"/>
        </w:rPr>
        <w:t>It is sensitive to the WACC used, so the rate must be set carefully.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4. Free Cash Flow (FCF)</w:t>
      </w:r>
    </w:p>
    <w:p>
      <w:pPr>
        <w:spacing w:before="100" w:after="20"/>
      </w:pPr>
      <w:r>
        <w:rPr>
          <w:b/>
          <w:color w:val="1F3D6B"/>
          <w:sz w:val="22"/>
        </w:rPr>
        <w:t>The formulas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ef2f8"/>
          </w:tcPr>
          <w:p>
            <w:r/>
            <w:r>
              <w:rPr>
                <w:b/>
                <w:sz w:val="20"/>
              </w:rPr>
              <w:t xml:space="preserve">Formula:  </w:t>
            </w:r>
            <w:r>
              <w:rPr>
                <w:sz w:val="20"/>
              </w:rPr>
              <w:t>Free cash flow to the firm (FCFF) = operating profit × (1 − tax) + depreciation &amp; amortisation − capital expenditure − increase in working capital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eef2f8"/>
          </w:tcPr>
          <w:p>
            <w:r/>
            <w:r>
              <w:rPr>
                <w:b/>
                <w:sz w:val="20"/>
              </w:rPr>
              <w:t xml:space="preserve">Formula:  </w:t>
            </w:r>
            <w:r>
              <w:rPr>
                <w:sz w:val="20"/>
              </w:rPr>
              <w:t>Free cash flow to equity (FCFE) = FCFF − after-tax interest paid + net new borrowing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For a simple performance measure, free cash flow is often taken as cash generated from operations less sustaining capital expenditure.</w:t>
      </w:r>
    </w:p>
    <w:p>
      <w:pPr>
        <w:pStyle w:val="ListBullet"/>
        <w:spacing w:after="60"/>
      </w:pPr>
      <w:r>
        <w:rPr>
          <w:sz w:val="20"/>
        </w:rPr>
        <w:t>FCFF is discounted at the WACC and gives enterprise value; less net debt gives the equity value.</w:t>
      </w:r>
    </w:p>
    <w:p>
      <w:pPr>
        <w:pStyle w:val="ListBullet"/>
        <w:spacing w:after="60"/>
      </w:pPr>
      <w:r>
        <w:rPr>
          <w:sz w:val="20"/>
        </w:rPr>
        <w:t>FCFE is discounted at the cost of equity and gives the equity value directly.</w:t>
      </w:r>
    </w:p>
    <w:p>
      <w:pPr>
        <w:spacing w:before="100" w:after="20"/>
      </w:pPr>
      <w:r>
        <w:rPr>
          <w:b/>
          <w:color w:val="1F3D6B"/>
          <w:sz w:val="22"/>
        </w:rPr>
        <w:t>Inputs</w:t>
      </w:r>
    </w:p>
    <w:p>
      <w:pPr>
        <w:pStyle w:val="ListBullet"/>
        <w:spacing w:after="60"/>
      </w:pPr>
      <w:r>
        <w:rPr>
          <w:sz w:val="20"/>
        </w:rPr>
        <w:t>Operating profit and the tax rate.</w:t>
      </w:r>
    </w:p>
    <w:p>
      <w:pPr>
        <w:pStyle w:val="ListBullet"/>
        <w:spacing w:after="60"/>
      </w:pPr>
      <w:r>
        <w:rPr>
          <w:sz w:val="20"/>
        </w:rPr>
        <w:t>Depreciation and amortisation (added back, because they are non-cash).</w:t>
      </w:r>
    </w:p>
    <w:p>
      <w:pPr>
        <w:pStyle w:val="ListBullet"/>
        <w:spacing w:after="60"/>
      </w:pPr>
      <w:r>
        <w:rPr>
          <w:sz w:val="20"/>
        </w:rPr>
        <w:t>Capital expenditure and the movement in working capital.</w:t>
      </w:r>
    </w:p>
    <w:p>
      <w:pPr>
        <w:pStyle w:val="ListBullet"/>
        <w:spacing w:after="60"/>
      </w:pPr>
      <w:r>
        <w:rPr>
          <w:sz w:val="20"/>
        </w:rPr>
        <w:t>For FCFE, after-tax interest and net borrowing.</w:t>
      </w:r>
    </w:p>
    <w:p>
      <w:pPr>
        <w:spacing w:before="100" w:after="20"/>
      </w:pPr>
      <w:r>
        <w:rPr>
          <w:b/>
          <w:color w:val="1F3D6B"/>
          <w:sz w:val="22"/>
        </w:rPr>
        <w:t>Easy example</w:t>
      </w:r>
    </w:p>
    <w:p>
      <w:pPr>
        <w:pStyle w:val="ListBullet"/>
        <w:spacing w:after="60"/>
      </w:pPr>
      <w:r>
        <w:rPr>
          <w:sz w:val="20"/>
        </w:rPr>
        <w:t>A company makes R100 of operating cash flow and spends R30 on sustaining capital expenditure.</w:t>
      </w:r>
    </w:p>
    <w:p>
      <w:pPr>
        <w:pStyle w:val="ListBullet"/>
        <w:spacing w:after="60"/>
      </w:pPr>
      <w:r>
        <w:rPr>
          <w:sz w:val="20"/>
        </w:rPr>
        <w:t>Its free cash flow is R100 − R30 = R70, which is the real spare cash the business generated.</w:t>
      </w:r>
    </w:p>
    <w:p>
      <w:pPr>
        <w:pStyle w:val="ListBullet"/>
        <w:spacing w:after="60"/>
      </w:pPr>
      <w:r>
        <w:rPr>
          <w:sz w:val="20"/>
        </w:rPr>
        <w:t>That cash can be used to pay down debt, reinvest, or pay dividends.</w:t>
      </w:r>
    </w:p>
    <w:p>
      <w:pPr>
        <w:spacing w:before="100" w:after="20"/>
      </w:pPr>
      <w:r>
        <w:rPr>
          <w:b/>
          <w:color w:val="1F3D6B"/>
          <w:sz w:val="22"/>
        </w:rPr>
        <w:t>Why it is good for an incentive scheme</w:t>
      </w:r>
    </w:p>
    <w:p>
      <w:pPr>
        <w:pStyle w:val="ListBullet"/>
        <w:spacing w:after="60"/>
      </w:pPr>
      <w:r>
        <w:rPr>
          <w:sz w:val="20"/>
        </w:rPr>
        <w:t>It rewards actual cash generation, which is what keeps a company solvent.</w:t>
      </w:r>
    </w:p>
    <w:p>
      <w:pPr>
        <w:pStyle w:val="ListBullet"/>
        <w:spacing w:after="60"/>
      </w:pPr>
      <w:r>
        <w:rPr>
          <w:sz w:val="20"/>
        </w:rPr>
        <w:t>It is harder to manipulate than accounting profit, because it is based on real cash.</w:t>
      </w:r>
    </w:p>
    <w:p>
      <w:pPr>
        <w:pStyle w:val="ListBullet"/>
        <w:spacing w:after="60"/>
      </w:pPr>
      <w:r>
        <w:rPr>
          <w:sz w:val="20"/>
        </w:rPr>
        <w:t>It is the most important measure when survival and refinancing are the priority, as they are for Diamante.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5. Comparison — which to use in an incentive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872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What it rewards</w:t>
            </w:r>
          </w:p>
        </w:tc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Main strength</w:t>
            </w:r>
          </w:p>
        </w:tc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Main weakness</w:t>
            </w:r>
          </w:p>
        </w:tc>
        <w:tc>
          <w:tcPr>
            <w:tcW w:type="dxa" w:w="201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Best used for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Residual income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Value earned above the cost of capital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Simple and avoids the ROI trap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Absolute, so hard to compare sizes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Divisional / per-mine value reward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Economic value added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Long-term shareholder value after adjustments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Discourages short-termism; bonus bank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Adjustments are complex and judgemental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Executive long-term incentive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Free cash flow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Actual cash generated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Hard to manipulate; tracks survival</w:t>
            </w:r>
          </w:p>
        </w:tc>
        <w:tc>
          <w:tcPr>
            <w:tcW w:type="dxa" w:w="2304"/>
          </w:tcPr>
          <w:p>
            <w:r/>
            <w:r>
              <w:rPr>
                <w:sz w:val="17"/>
              </w:rPr>
              <w:t>Can be reduced by necessary capex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Cash / going-concern situations</w:t>
            </w:r>
          </w:p>
        </w:tc>
      </w:tr>
    </w:tbl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6. Applied to Diamante (illustrative, from the pre-release)</w:t>
      </w:r>
    </w:p>
    <w:p>
      <w:pPr>
        <w:spacing w:after="80"/>
      </w:pPr>
      <w:r>
        <w:rPr>
          <w:i w:val="0"/>
          <w:sz w:val="18"/>
        </w:rPr>
        <w:t>Using group figures: NOPAT ≈ (loss before tax R1 719m + finance expense R378m) × 73% = (R979m); net investment (permanent capital) ≈ R4 419m; assumed WACC 12%.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489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Working</w:t>
            </w:r>
          </w:p>
        </w:tc>
        <w:tc>
          <w:tcPr>
            <w:tcW w:type="dxa" w:w="14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Residual income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(979) − (12% × 4 419) = (979) − 530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(R1 509m)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Deeply negative, so value is being destroyed and no bonus is warranted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Economic value added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≈ residual income once adjustments and a risk-adjusted WACC are applied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≈ (R1 500m)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Same conclusion; value destruction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Free cash flow</w:t>
            </w:r>
          </w:p>
        </w:tc>
        <w:tc>
          <w:tcPr>
            <w:tcW w:type="dxa" w:w="4896"/>
          </w:tcPr>
          <w:p>
            <w:r/>
            <w:r>
              <w:rPr>
                <w:sz w:val="17"/>
              </w:rPr>
              <w:t>No cash flow statement is given; adjusted EBITDA of R207m is the best proxy, before capex, interest and tax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≈ R207m proxy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Weak positive cash generation, more than halved from R540m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These measures show that Diamante is destroying value on a residual-income and EVA basis, which is exactly why a profit-growth KPI is inappropriate.</w:t>
      </w:r>
    </w:p>
    <w:p>
      <w:pPr>
        <w:pStyle w:val="ListBullet"/>
        <w:spacing w:after="60"/>
      </w:pPr>
      <w:r>
        <w:rPr>
          <w:sz w:val="20"/>
        </w:rPr>
        <w:t>They support rebuilding the incentive scheme around residual income or EVA for value, and free cash flow for survival.</w:t>
      </w:r>
    </w:p>
    <w:p>
      <w:pPr>
        <w:pStyle w:val="ListBullet"/>
        <w:spacing w:after="60"/>
      </w:pPr>
      <w:r>
        <w:rPr>
          <w:sz w:val="20"/>
        </w:rPr>
        <w:t>A per-mine residual income would need each mine’s own assets and profit, which are not disclosed and should be requested.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7. Key points for using these in an incentive scheme</w:t>
      </w:r>
    </w:p>
    <w:p>
      <w:pPr>
        <w:pStyle w:val="ListBullet"/>
        <w:spacing w:after="60"/>
      </w:pPr>
      <w:r>
        <w:rPr>
          <w:sz w:val="20"/>
        </w:rPr>
        <w:t>Reward managers only for the value or cash they can control, and risk-adjust the WACC for each division.</w:t>
      </w:r>
    </w:p>
    <w:p>
      <w:pPr>
        <w:pStyle w:val="ListBullet"/>
        <w:spacing w:after="60"/>
      </w:pPr>
      <w:r>
        <w:rPr>
          <w:sz w:val="20"/>
        </w:rPr>
        <w:t>Use residual income or EVA to reward value creation, and free cash flow to reward the cash that funds survival.</w:t>
      </w:r>
    </w:p>
    <w:p>
      <w:pPr>
        <w:pStyle w:val="ListBullet"/>
        <w:spacing w:after="60"/>
      </w:pPr>
      <w:r>
        <w:rPr>
          <w:sz w:val="20"/>
        </w:rPr>
        <w:t>Attach a bonus bank, so part of the reward is held back and forfeited when value is destroyed.</w:t>
      </w:r>
    </w:p>
    <w:p>
      <w:pPr>
        <w:pStyle w:val="ListBullet"/>
        <w:spacing w:after="60"/>
      </w:pPr>
      <w:r>
        <w:rPr>
          <w:sz w:val="20"/>
        </w:rPr>
        <w:t>Tier the measures, with executives on group EVA and free cash flow and mine managers on their own residual income and cash.</w:t>
      </w:r>
    </w:p>
    <w:p>
      <w:pPr>
        <w:pStyle w:val="ListBullet"/>
        <w:spacing w:after="60"/>
      </w:pPr>
      <w:r>
        <w:rPr>
          <w:sz w:val="20"/>
        </w:rPr>
        <w:t>These measures are far harder to manipulate than accounting profit growth or a percentage return, which is why they make a better incentive basis.</w:t>
      </w:r>
    </w:p>
    <w:p>
      <w:pPr>
        <w:spacing w:after="80"/>
      </w:pPr>
      <w:r>
        <w:rPr>
          <w:i/>
          <w:sz w:val="17"/>
        </w:rPr>
        <w:t>Based on the IAC 2026 MAF performance-evaluation notes (residual income, EVA, net investment and NOPAT conventions) and the free cash flow method; the tax factor reflects the 27% rate. Diamante figures are illustrative from the draft pre-release.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