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D6B"/>
          <w:sz w:val="28"/>
        </w:rPr>
        <w:t>Alternative Performance Measures for an Incentive Scheme — RI, EVA, Free Cash Flow &amp; Operating-Cost Reduction</w:t>
      </w:r>
    </w:p>
    <w:p>
      <w:pPr>
        <w:spacing w:after="80"/>
      </w:pPr>
      <w:r>
        <w:rPr>
          <w:i/>
          <w:sz w:val="18"/>
        </w:rPr>
        <w:t>Based on the IAC MAF performance-evaluation notes (residual income and economic value added) and the free cash flow method, with the reduction in operating cost added as a fourth option. These are the value- and cash-based measures used to redesign or evaluate an incentive scheme such as Diamante’s, because they reward real value and cash rather than accounting profit or a percentage return. The document ends with a ranked recommendation for Diamante. Amounts are illustrative unless stated.</w:t>
      </w:r>
    </w:p>
    <w:p>
      <w:pPr>
        <w:spacing w:before="200" w:after="40"/>
        <w:pBdr>
          <w:bottom w:val="single" w:sz="6" w:space="2" w:color="808080"/>
        </w:pBdr>
      </w:pPr>
      <w:r>
        <w:rPr>
          <w:b/>
          <w:color w:val="1F3D6B"/>
          <w:sz w:val="26"/>
        </w:rPr>
        <w:t>1. The building blocks (used by residual income and EVA)</w:t>
      </w:r>
    </w:p>
    <w:p>
      <w:pPr>
        <w:spacing w:before="100" w:after="20"/>
      </w:pPr>
      <w:r>
        <w:rPr>
          <w:b/>
          <w:color w:val="1F3D6B"/>
          <w:sz w:val="22"/>
        </w:rPr>
        <w:t>NOPAT (net operating profit after tax)</w:t>
      </w:r>
    </w:p>
    <w:tbl>
      <w:tblPr>
        <w:tblStyle w:val="TableGrid"/>
        <w:tblW w:type="auto" w:w="0"/>
        <w:tblLook w:firstColumn="1" w:firstRow="1" w:lastColumn="0" w:lastRow="0" w:noHBand="0" w:noVBand="1" w:val="04A0"/>
      </w:tblPr>
      <w:tblGrid>
        <w:gridCol w:w="10512"/>
      </w:tblGrid>
      <w:tr>
        <w:tc>
          <w:tcPr>
            <w:tcW w:type="dxa" w:w="10512"/>
            <w:shd w:val="clear" w:fill="eef2f8"/>
          </w:tcPr>
          <w:p>
            <w:r/>
            <w:r>
              <w:rPr>
                <w:b/>
                <w:sz w:val="20"/>
              </w:rPr>
              <w:t xml:space="preserve">Formula:  </w:t>
            </w:r>
            <w:r>
              <w:rPr>
                <w:sz w:val="20"/>
              </w:rPr>
              <w:t>NOPAT = operating profit × (1 − tax rate);  or, if profit before tax is given, NOPAT = (profit before tax + interest) × (1 − tax rate)</w:t>
            </w:r>
          </w:p>
        </w:tc>
      </w:tr>
    </w:tbl>
    <w:p>
      <w:pPr>
        <w:pStyle w:val="ListBullet"/>
        <w:spacing w:after="60"/>
      </w:pPr>
      <w:r>
        <w:rPr>
          <w:sz w:val="20"/>
        </w:rPr>
        <w:t>NOPAT is profit before the effect of gearing (interest), stated after tax.</w:t>
      </w:r>
    </w:p>
    <w:p>
      <w:pPr>
        <w:pStyle w:val="ListBullet"/>
        <w:spacing w:after="60"/>
      </w:pPr>
      <w:r>
        <w:rPr>
          <w:sz w:val="20"/>
        </w:rPr>
        <w:t>It is used so the measure reflects operating performance and not the financing mix.</w:t>
      </w:r>
    </w:p>
    <w:p>
      <w:pPr>
        <w:pStyle w:val="ListBullet"/>
        <w:spacing w:after="60"/>
      </w:pPr>
      <w:r>
        <w:rPr>
          <w:sz w:val="20"/>
        </w:rPr>
        <w:t>The MAF notes use a factor of 72% (a 28% tax rate); at the current 27% rate the factor is 73%.</w:t>
      </w:r>
    </w:p>
    <w:p>
      <w:pPr>
        <w:spacing w:before="100" w:after="20"/>
      </w:pPr>
      <w:r>
        <w:rPr>
          <w:b/>
          <w:color w:val="1F3D6B"/>
          <w:sz w:val="22"/>
        </w:rPr>
        <w:t>Net investment (the capital employed)</w:t>
      </w:r>
    </w:p>
    <w:tbl>
      <w:tblPr>
        <w:tblStyle w:val="TableGrid"/>
        <w:tblW w:type="auto" w:w="0"/>
        <w:tblLook w:firstColumn="1" w:firstRow="1" w:lastColumn="0" w:lastRow="0" w:noHBand="0" w:noVBand="1" w:val="04A0"/>
      </w:tblPr>
      <w:tblGrid>
        <w:gridCol w:w="10512"/>
      </w:tblGrid>
      <w:tr>
        <w:tc>
          <w:tcPr>
            <w:tcW w:type="dxa" w:w="10512"/>
            <w:shd w:val="clear" w:fill="eef2f8"/>
          </w:tcPr>
          <w:p>
            <w:r/>
            <w:r>
              <w:rPr>
                <w:b/>
                <w:sz w:val="20"/>
              </w:rPr>
              <w:t xml:space="preserve">Formula:  </w:t>
            </w:r>
            <w:r>
              <w:rPr>
                <w:sz w:val="20"/>
              </w:rPr>
              <w:t>Net investment = Total assets − current liabilities;  or  Net investment = Equity + long-term liabilities</w:t>
            </w:r>
          </w:p>
        </w:tc>
      </w:tr>
    </w:tbl>
    <w:p>
      <w:pPr>
        <w:pStyle w:val="ListBullet"/>
        <w:spacing w:after="60"/>
      </w:pPr>
      <w:r>
        <w:rPr>
          <w:sz w:val="20"/>
        </w:rPr>
        <w:t>Only permanent sources of finance are included in net investment.</w:t>
      </w:r>
    </w:p>
    <w:p>
      <w:pPr>
        <w:pStyle w:val="ListBullet"/>
        <w:spacing w:after="60"/>
      </w:pPr>
      <w:r>
        <w:rPr>
          <w:sz w:val="20"/>
        </w:rPr>
        <w:t>The current portion of a long-term liability is therefore excluded from current liabilities.</w:t>
      </w:r>
    </w:p>
    <w:p>
      <w:pPr>
        <w:pStyle w:val="ListBullet"/>
        <w:spacing w:after="60"/>
      </w:pPr>
      <w:r>
        <w:rPr>
          <w:sz w:val="20"/>
        </w:rPr>
        <w:t>When evaluating an individual manager, allocated costs such as head-office costs are excluded, because they are not controllable.</w:t>
      </w:r>
    </w:p>
    <w:p>
      <w:pPr>
        <w:pStyle w:val="ListBullet"/>
        <w:spacing w:after="60"/>
      </w:pPr>
      <w:r>
        <w:rPr>
          <w:sz w:val="20"/>
        </w:rPr>
        <w:t>When evaluating a division as a stand-alone unit, those allocated costs are included.</w:t>
      </w:r>
    </w:p>
    <w:p>
      <w:pPr>
        <w:spacing w:before="200" w:after="40"/>
        <w:pBdr>
          <w:bottom w:val="single" w:sz="6" w:space="2" w:color="808080"/>
        </w:pBdr>
      </w:pPr>
      <w:r>
        <w:rPr>
          <w:b/>
          <w:color w:val="1F3D6B"/>
          <w:sz w:val="26"/>
        </w:rPr>
        <w:t>2. Residual Income (RI)</w:t>
      </w:r>
    </w:p>
    <w:tbl>
      <w:tblPr>
        <w:tblStyle w:val="TableGrid"/>
        <w:tblW w:type="auto" w:w="0"/>
        <w:tblLook w:firstColumn="1" w:firstRow="1" w:lastColumn="0" w:lastRow="0" w:noHBand="0" w:noVBand="1" w:val="04A0"/>
      </w:tblPr>
      <w:tblGrid>
        <w:gridCol w:w="10512"/>
      </w:tblGrid>
      <w:tr>
        <w:tc>
          <w:tcPr>
            <w:tcW w:type="dxa" w:w="10512"/>
            <w:shd w:val="clear" w:fill="eef2f8"/>
          </w:tcPr>
          <w:p>
            <w:r/>
            <w:r>
              <w:rPr>
                <w:b/>
                <w:sz w:val="20"/>
              </w:rPr>
              <w:t xml:space="preserve">Formula:  </w:t>
            </w:r>
            <w:r>
              <w:rPr>
                <w:sz w:val="20"/>
              </w:rPr>
              <w:t>RI = NOPAT − (WACC × net investment)</w:t>
            </w:r>
          </w:p>
        </w:tc>
      </w:tr>
    </w:tbl>
    <w:p>
      <w:pPr>
        <w:spacing w:before="100" w:after="20"/>
      </w:pPr>
      <w:r>
        <w:rPr>
          <w:b/>
          <w:color w:val="1F3D6B"/>
          <w:sz w:val="22"/>
        </w:rPr>
        <w:t>Easy example</w:t>
      </w:r>
    </w:p>
    <w:p>
      <w:pPr>
        <w:pStyle w:val="ListBullet"/>
        <w:spacing w:after="60"/>
      </w:pPr>
      <w:r>
        <w:rPr>
          <w:sz w:val="20"/>
        </w:rPr>
        <w:t>A division earns NOPAT of R100 and uses R500 of capital, and the WACC is 10%.</w:t>
      </w:r>
    </w:p>
    <w:p>
      <w:pPr>
        <w:pStyle w:val="ListBullet"/>
        <w:spacing w:after="60"/>
      </w:pPr>
      <w:r>
        <w:rPr>
          <w:sz w:val="20"/>
        </w:rPr>
        <w:t>The capital charge is 10% × R500 = R50.</w:t>
      </w:r>
    </w:p>
    <w:p>
      <w:pPr>
        <w:pStyle w:val="ListBullet"/>
        <w:spacing w:after="60"/>
      </w:pPr>
      <w:r>
        <w:rPr>
          <w:sz w:val="20"/>
        </w:rPr>
        <w:t>Residual income is R100 − R50 = R50, meaning the division created R50 of value above the cost of its capital.</w:t>
      </w:r>
    </w:p>
    <w:p>
      <w:pPr>
        <w:spacing w:before="100" w:after="20"/>
      </w:pPr>
      <w:r>
        <w:rPr>
          <w:b/>
          <w:color w:val="1F3D6B"/>
          <w:sz w:val="22"/>
        </w:rPr>
        <w:t>Why it suits an incentive scheme, and its limits</w:t>
      </w:r>
    </w:p>
    <w:p>
      <w:pPr>
        <w:pStyle w:val="ListBullet"/>
        <w:spacing w:after="60"/>
      </w:pPr>
      <w:r>
        <w:rPr>
          <w:sz w:val="20"/>
        </w:rPr>
        <w:t>It rewards any action that earns more than the cost of capital, so it encourages value-adding growth.</w:t>
      </w:r>
    </w:p>
    <w:p>
      <w:pPr>
        <w:pStyle w:val="ListBullet"/>
        <w:spacing w:after="60"/>
      </w:pPr>
      <w:r>
        <w:rPr>
          <w:sz w:val="20"/>
        </w:rPr>
        <w:t>It fixes the main flaw of return on investment, which can make a manager reject a good project that lowers a high percentage return.</w:t>
      </w:r>
    </w:p>
    <w:p>
      <w:pPr>
        <w:pStyle w:val="ListBullet"/>
        <w:spacing w:after="60"/>
      </w:pPr>
      <w:r>
        <w:rPr>
          <w:sz w:val="20"/>
        </w:rPr>
        <w:t>It is an absolute rand figure, so it is harder to compare divisions of very different size.</w:t>
      </w:r>
    </w:p>
    <w:p>
      <w:pPr>
        <w:spacing w:before="200" w:after="40"/>
        <w:pBdr>
          <w:bottom w:val="single" w:sz="6" w:space="2" w:color="808080"/>
        </w:pBdr>
      </w:pPr>
      <w:r>
        <w:rPr>
          <w:b/>
          <w:color w:val="1F3D6B"/>
          <w:sz w:val="26"/>
        </w:rPr>
        <w:t>3. Economic Value Added (EVA)</w:t>
      </w:r>
    </w:p>
    <w:tbl>
      <w:tblPr>
        <w:tblStyle w:val="TableGrid"/>
        <w:tblW w:type="auto" w:w="0"/>
        <w:tblLook w:firstColumn="1" w:firstRow="1" w:lastColumn="0" w:lastRow="0" w:noHBand="0" w:noVBand="1" w:val="04A0"/>
      </w:tblPr>
      <w:tblGrid>
        <w:gridCol w:w="10512"/>
      </w:tblGrid>
      <w:tr>
        <w:tc>
          <w:tcPr>
            <w:tcW w:type="dxa" w:w="10512"/>
            <w:shd w:val="clear" w:fill="eef2f8"/>
          </w:tcPr>
          <w:p>
            <w:r/>
            <w:r>
              <w:rPr>
                <w:b/>
                <w:sz w:val="20"/>
              </w:rPr>
              <w:t xml:space="preserve">Formula:  </w:t>
            </w:r>
            <w:r>
              <w:rPr>
                <w:sz w:val="20"/>
              </w:rPr>
              <w:t>EVA = (NOPAT ± adjustments) − WACC × (net investment ± adjustments)</w:t>
            </w:r>
          </w:p>
        </w:tc>
      </w:tr>
    </w:tbl>
    <w:p>
      <w:pPr>
        <w:spacing w:before="100" w:after="20"/>
      </w:pPr>
      <w:r>
        <w:rPr>
          <w:b/>
          <w:color w:val="1F3D6B"/>
          <w:sz w:val="22"/>
        </w:rPr>
        <w:t>The adjustments (what makes EVA different from RI)</w:t>
      </w:r>
    </w:p>
    <w:p>
      <w:pPr>
        <w:pStyle w:val="ListBullet"/>
        <w:spacing w:after="60"/>
      </w:pPr>
      <w:r>
        <w:rPr>
          <w:sz w:val="20"/>
        </w:rPr>
        <w:t>Expenditure with an enduring benefit, such as a major marketing or research campaign, is capitalised and written off over the period the benefit lasts.</w:t>
      </w:r>
    </w:p>
    <w:p>
      <w:pPr>
        <w:pStyle w:val="ListBullet"/>
        <w:spacing w:after="60"/>
      </w:pPr>
      <w:r>
        <w:rPr>
          <w:sz w:val="20"/>
        </w:rPr>
        <w:t>Operating-type leases are capitalised, discounted at the pre-tax cost of debt, with the lease expense replaced by depreciation.</w:t>
      </w:r>
    </w:p>
    <w:p>
      <w:pPr>
        <w:pStyle w:val="ListBullet"/>
        <w:spacing w:after="60"/>
      </w:pPr>
      <w:r>
        <w:rPr>
          <w:sz w:val="20"/>
        </w:rPr>
        <w:t>Non-cash provisions and similar items are often added back so the measure reflects economic rather than accounting reality.</w:t>
      </w:r>
    </w:p>
    <w:p>
      <w:pPr>
        <w:pStyle w:val="ListBullet"/>
        <w:spacing w:after="60"/>
      </w:pPr>
      <w:r>
        <w:rPr>
          <w:sz w:val="20"/>
        </w:rPr>
        <w:t>The WACC can be risk-adjusted for each division, so riskier divisions carry a higher capital charge.</w:t>
      </w:r>
    </w:p>
    <w:p>
      <w:pPr>
        <w:spacing w:before="100" w:after="20"/>
      </w:pPr>
      <w:r>
        <w:rPr>
          <w:b/>
          <w:color w:val="1F3D6B"/>
          <w:sz w:val="22"/>
        </w:rPr>
        <w:t>Easy example, and why it suits an incentive scheme</w:t>
      </w:r>
    </w:p>
    <w:p>
      <w:pPr>
        <w:pStyle w:val="ListBullet"/>
        <w:spacing w:after="60"/>
      </w:pPr>
      <w:r>
        <w:rPr>
          <w:sz w:val="20"/>
        </w:rPr>
        <w:t>Starting from the residual income of R50, if the division also spent R40 on a lasting brand campaign, EVA adds that R40 back into capital and writes it off over its useful life.</w:t>
      </w:r>
    </w:p>
    <w:p>
      <w:pPr>
        <w:pStyle w:val="ListBullet"/>
        <w:spacing w:after="60"/>
      </w:pPr>
      <w:r>
        <w:rPr>
          <w:sz w:val="20"/>
        </w:rPr>
        <w:t>It is designed specifically to measure value added to shareholders, so it aligns management directly with owners.</w:t>
      </w:r>
    </w:p>
    <w:p>
      <w:pPr>
        <w:pStyle w:val="ListBullet"/>
        <w:spacing w:after="60"/>
      </w:pPr>
      <w:r>
        <w:rPr>
          <w:sz w:val="20"/>
        </w:rPr>
        <w:t>A bonus bank can be attached, where part of the EVA bonus is retained and forfeited in years when EVA is negative.</w:t>
      </w:r>
    </w:p>
    <w:p>
      <w:pPr>
        <w:pStyle w:val="ListBullet"/>
        <w:spacing w:after="60"/>
      </w:pPr>
      <w:r>
        <w:rPr>
          <w:sz w:val="20"/>
        </w:rPr>
        <w:t>Its weakness is that the adjustments require judgement and it is sensitive to the WACC used.</w:t>
      </w:r>
    </w:p>
    <w:p>
      <w:pPr>
        <w:spacing w:before="200" w:after="40"/>
        <w:pBdr>
          <w:bottom w:val="single" w:sz="6" w:space="2" w:color="808080"/>
        </w:pBdr>
      </w:pPr>
      <w:r>
        <w:rPr>
          <w:b/>
          <w:color w:val="1F3D6B"/>
          <w:sz w:val="26"/>
        </w:rPr>
        <w:t>4. Free Cash Flow (FCF)</w:t>
      </w:r>
    </w:p>
    <w:tbl>
      <w:tblPr>
        <w:tblStyle w:val="TableGrid"/>
        <w:tblW w:type="auto" w:w="0"/>
        <w:tblLook w:firstColumn="1" w:firstRow="1" w:lastColumn="0" w:lastRow="0" w:noHBand="0" w:noVBand="1" w:val="04A0"/>
      </w:tblPr>
      <w:tblGrid>
        <w:gridCol w:w="10512"/>
      </w:tblGrid>
      <w:tr>
        <w:tc>
          <w:tcPr>
            <w:tcW w:type="dxa" w:w="10512"/>
            <w:shd w:val="clear" w:fill="eef2f8"/>
          </w:tcPr>
          <w:p>
            <w:r/>
            <w:r>
              <w:rPr>
                <w:b/>
                <w:sz w:val="20"/>
              </w:rPr>
              <w:t xml:space="preserve">Formula:  </w:t>
            </w:r>
            <w:r>
              <w:rPr>
                <w:sz w:val="20"/>
              </w:rPr>
              <w:t>FCFF = operating profit × (1 − tax) + depreciation &amp; amortisation − capital expenditure − increase in working capital</w:t>
            </w:r>
          </w:p>
        </w:tc>
      </w:tr>
    </w:tbl>
    <w:tbl>
      <w:tblPr>
        <w:tblStyle w:val="TableGrid"/>
        <w:tblW w:type="auto" w:w="0"/>
        <w:tblLook w:firstColumn="1" w:firstRow="1" w:lastColumn="0" w:lastRow="0" w:noHBand="0" w:noVBand="1" w:val="04A0"/>
      </w:tblPr>
      <w:tblGrid>
        <w:gridCol w:w="10512"/>
      </w:tblGrid>
      <w:tr>
        <w:tc>
          <w:tcPr>
            <w:tcW w:type="dxa" w:w="10512"/>
            <w:shd w:val="clear" w:fill="eef2f8"/>
          </w:tcPr>
          <w:p>
            <w:r/>
            <w:r>
              <w:rPr>
                <w:b/>
                <w:sz w:val="20"/>
              </w:rPr>
              <w:t xml:space="preserve">Formula:  </w:t>
            </w:r>
            <w:r>
              <w:rPr>
                <w:sz w:val="20"/>
              </w:rPr>
              <w:t>FCFE = FCFF − after-tax interest paid + net new borrowing</w:t>
            </w:r>
          </w:p>
        </w:tc>
      </w:tr>
    </w:tbl>
    <w:p>
      <w:pPr>
        <w:pStyle w:val="ListBullet"/>
        <w:spacing w:after="60"/>
      </w:pPr>
      <w:r>
        <w:rPr>
          <w:sz w:val="20"/>
        </w:rPr>
        <w:t>For a simple performance measure, free cash flow is often taken as cash from operations less sustaining capital expenditure.</w:t>
      </w:r>
    </w:p>
    <w:p>
      <w:pPr>
        <w:pStyle w:val="ListBullet"/>
        <w:spacing w:after="60"/>
      </w:pPr>
      <w:r>
        <w:rPr>
          <w:sz w:val="20"/>
        </w:rPr>
        <w:t>FCFF is discounted at the WACC and gives enterprise value; less net debt gives equity value.</w:t>
      </w:r>
    </w:p>
    <w:p>
      <w:pPr>
        <w:pStyle w:val="ListBullet"/>
        <w:spacing w:after="60"/>
      </w:pPr>
      <w:r>
        <w:rPr>
          <w:sz w:val="20"/>
        </w:rPr>
        <w:t>FCFE is discounted at the cost of equity and gives equity value directly.</w:t>
      </w:r>
    </w:p>
    <w:p>
      <w:pPr>
        <w:spacing w:before="100" w:after="20"/>
      </w:pPr>
      <w:r>
        <w:rPr>
          <w:b/>
          <w:color w:val="1F3D6B"/>
          <w:sz w:val="22"/>
        </w:rPr>
        <w:t>Easy example, and why it suits an incentive scheme</w:t>
      </w:r>
    </w:p>
    <w:p>
      <w:pPr>
        <w:pStyle w:val="ListBullet"/>
        <w:spacing w:after="60"/>
      </w:pPr>
      <w:r>
        <w:rPr>
          <w:sz w:val="20"/>
        </w:rPr>
        <w:t>A company makes R100 of operating cash flow and spends R30 on sustaining capital expenditure, so free cash flow is R70.</w:t>
      </w:r>
    </w:p>
    <w:p>
      <w:pPr>
        <w:pStyle w:val="ListBullet"/>
        <w:spacing w:after="60"/>
      </w:pPr>
      <w:r>
        <w:rPr>
          <w:sz w:val="20"/>
        </w:rPr>
        <w:t>It rewards actual cash generation, which is what keeps a company solvent.</w:t>
      </w:r>
    </w:p>
    <w:p>
      <w:pPr>
        <w:pStyle w:val="ListBullet"/>
        <w:spacing w:after="60"/>
      </w:pPr>
      <w:r>
        <w:rPr>
          <w:sz w:val="20"/>
        </w:rPr>
        <w:t>It is harder to manipulate than accounting profit, because it is based on real cash.</w:t>
      </w:r>
    </w:p>
    <w:p>
      <w:pPr>
        <w:pStyle w:val="ListBullet"/>
        <w:spacing w:after="60"/>
      </w:pPr>
      <w:r>
        <w:rPr>
          <w:sz w:val="20"/>
        </w:rPr>
        <w:t>It is the most important measure when survival and refinancing are the priority.</w:t>
      </w:r>
    </w:p>
    <w:p>
      <w:pPr>
        <w:spacing w:before="200" w:after="40"/>
        <w:pBdr>
          <w:bottom w:val="single" w:sz="6" w:space="2" w:color="808080"/>
        </w:pBdr>
      </w:pPr>
      <w:r>
        <w:rPr>
          <w:b/>
          <w:color w:val="1F3D6B"/>
          <w:sz w:val="26"/>
        </w:rPr>
        <w:t>5. Reduction in operating cost (and the operating loss)</w:t>
      </w:r>
    </w:p>
    <w:tbl>
      <w:tblPr>
        <w:tblStyle w:val="TableGrid"/>
        <w:tblW w:type="auto" w:w="0"/>
        <w:tblLook w:firstColumn="1" w:firstRow="1" w:lastColumn="0" w:lastRow="0" w:noHBand="0" w:noVBand="1" w:val="04A0"/>
      </w:tblPr>
      <w:tblGrid>
        <w:gridCol w:w="10512"/>
      </w:tblGrid>
      <w:tr>
        <w:tc>
          <w:tcPr>
            <w:tcW w:type="dxa" w:w="10512"/>
            <w:shd w:val="clear" w:fill="eef2f8"/>
          </w:tcPr>
          <w:p>
            <w:r/>
            <w:r>
              <w:rPr>
                <w:b/>
                <w:sz w:val="20"/>
              </w:rPr>
              <w:t xml:space="preserve">Formula:  </w:t>
            </w:r>
            <w:r>
              <w:rPr>
                <w:sz w:val="20"/>
              </w:rPr>
              <w:t>Cost reduction = prior operating cost − current operating cost  (better stated as cost per carat vs budget);  Operating-loss reduction = prior operating loss − current operating loss</w:t>
            </w:r>
          </w:p>
        </w:tc>
      </w:tr>
    </w:tbl>
    <w:p>
      <w:pPr>
        <w:spacing w:before="100" w:after="20"/>
      </w:pPr>
      <w:r>
        <w:rPr>
          <w:b/>
          <w:color w:val="1F3D6B"/>
          <w:sz w:val="22"/>
        </w:rPr>
        <w:t>Inputs</w:t>
      </w:r>
    </w:p>
    <w:p>
      <w:pPr>
        <w:pStyle w:val="ListBullet"/>
        <w:spacing w:after="60"/>
      </w:pPr>
      <w:r>
        <w:rPr>
          <w:sz w:val="20"/>
        </w:rPr>
        <w:t>Operating costs (or the operating loss) for the current and the prior period.</w:t>
      </w:r>
    </w:p>
    <w:p>
      <w:pPr>
        <w:pStyle w:val="ListBullet"/>
        <w:spacing w:after="60"/>
      </w:pPr>
      <w:r>
        <w:rPr>
          <w:sz w:val="20"/>
        </w:rPr>
        <w:t>Carats recovered, if the measure is expressed as cost per carat.</w:t>
      </w:r>
    </w:p>
    <w:p>
      <w:pPr>
        <w:pStyle w:val="ListBullet"/>
        <w:spacing w:after="60"/>
      </w:pPr>
      <w:r>
        <w:rPr>
          <w:sz w:val="20"/>
        </w:rPr>
        <w:t>The budget, if the measure is a controllable cost variance against budget.</w:t>
      </w:r>
    </w:p>
    <w:p>
      <w:pPr>
        <w:spacing w:before="100" w:after="20"/>
      </w:pPr>
      <w:r>
        <w:rPr>
          <w:b/>
          <w:color w:val="1F3D6B"/>
          <w:sz w:val="22"/>
        </w:rPr>
        <w:t>Easy example</w:t>
      </w:r>
    </w:p>
    <w:p>
      <w:pPr>
        <w:pStyle w:val="ListBullet"/>
        <w:spacing w:after="60"/>
      </w:pPr>
      <w:r>
        <w:rPr>
          <w:sz w:val="20"/>
        </w:rPr>
        <w:t>If operating costs were R120 last year and R100 this year, the reduction is R20, or about 17%.</w:t>
      </w:r>
    </w:p>
    <w:p>
      <w:pPr>
        <w:pStyle w:val="ListBullet"/>
        <w:spacing w:after="60"/>
      </w:pPr>
      <w:r>
        <w:rPr>
          <w:sz w:val="20"/>
        </w:rPr>
        <w:t>If the operating loss was R80 last year and R50 this year, that is a R30 improvement toward break-even.</w:t>
      </w:r>
    </w:p>
    <w:p>
      <w:pPr>
        <w:spacing w:before="100" w:after="20"/>
      </w:pPr>
      <w:r>
        <w:rPr>
          <w:b/>
          <w:color w:val="1F3D6B"/>
          <w:sz w:val="22"/>
        </w:rPr>
        <w:t>Why it suits an incentive scheme, and the key caution</w:t>
      </w:r>
    </w:p>
    <w:p>
      <w:pPr>
        <w:pStyle w:val="ListBullet"/>
        <w:spacing w:after="60"/>
      </w:pPr>
      <w:r>
        <w:rPr>
          <w:sz w:val="20"/>
        </w:rPr>
        <w:t>It is highly controllable, because operating costs are within management’s influence.</w:t>
      </w:r>
    </w:p>
    <w:p>
      <w:pPr>
        <w:pStyle w:val="ListBullet"/>
        <w:spacing w:after="60"/>
      </w:pPr>
      <w:r>
        <w:rPr>
          <w:sz w:val="20"/>
        </w:rPr>
        <w:t>It is achievable and motivating for a loss-making company, unlike an impossible profit-growth target.</w:t>
      </w:r>
    </w:p>
    <w:p>
      <w:pPr>
        <w:pStyle w:val="ListBullet"/>
        <w:spacing w:after="60"/>
      </w:pPr>
      <w:r>
        <w:rPr>
          <w:sz w:val="20"/>
        </w:rPr>
        <w:t>It directly attacks Diamante’s core problem, that mining costs now exceed revenue.</w:t>
      </w:r>
    </w:p>
    <w:p>
      <w:pPr>
        <w:pStyle w:val="ListBullet"/>
        <w:spacing w:after="60"/>
      </w:pPr>
      <w:r>
        <w:rPr>
          <w:sz w:val="20"/>
        </w:rPr>
        <w:t>The key caution is that a blunt total-cost target can be met by mining less or by cutting safety, development and rehabilitation spending.</w:t>
      </w:r>
    </w:p>
    <w:p>
      <w:pPr>
        <w:pStyle w:val="ListBullet"/>
        <w:spacing w:after="60"/>
      </w:pPr>
      <w:r>
        <w:rPr>
          <w:sz w:val="20"/>
        </w:rPr>
        <w:t>It should therefore be measured as cost per carat, or as a controllable cost variance against budget, with a volume and safety guardrail.</w:t>
      </w:r>
    </w:p>
    <w:p>
      <w:pPr>
        <w:pStyle w:val="ListBullet"/>
        <w:spacing w:after="60"/>
      </w:pPr>
      <w:r>
        <w:rPr>
          <w:sz w:val="20"/>
        </w:rPr>
        <w:t>The operating-loss version is more complete, because it also captures revenue, so management cannot win simply by shrinking the business.</w:t>
      </w:r>
    </w:p>
    <w:p>
      <w:pPr>
        <w:spacing w:before="200" w:after="40"/>
        <w:pBdr>
          <w:bottom w:val="single" w:sz="6" w:space="2" w:color="808080"/>
        </w:pBdr>
      </w:pPr>
      <w:r>
        <w:rPr>
          <w:b/>
          <w:color w:val="1F3D6B"/>
          <w:sz w:val="26"/>
        </w:rPr>
        <w:t>6. Comparison of the four options</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160"/>
            <w:shd w:val="clear" w:fill="1f3d6b"/>
          </w:tcPr>
          <w:p>
            <w:r/>
            <w:r>
              <w:rPr>
                <w:b/>
                <w:color w:val="FFFFFF"/>
                <w:sz w:val="17"/>
              </w:rPr>
              <w:t>Measure</w:t>
            </w:r>
          </w:p>
        </w:tc>
        <w:tc>
          <w:tcPr>
            <w:tcW w:type="dxa" w:w="2448"/>
            <w:shd w:val="clear" w:fill="1f3d6b"/>
          </w:tcPr>
          <w:p>
            <w:r/>
            <w:r>
              <w:rPr>
                <w:b/>
                <w:color w:val="FFFFFF"/>
                <w:sz w:val="17"/>
              </w:rPr>
              <w:t>What it rewards</w:t>
            </w:r>
          </w:p>
        </w:tc>
        <w:tc>
          <w:tcPr>
            <w:tcW w:type="dxa" w:w="2304"/>
            <w:shd w:val="clear" w:fill="1f3d6b"/>
          </w:tcPr>
          <w:p>
            <w:r/>
            <w:r>
              <w:rPr>
                <w:b/>
                <w:color w:val="FFFFFF"/>
                <w:sz w:val="17"/>
              </w:rPr>
              <w:t>Main strength</w:t>
            </w:r>
          </w:p>
        </w:tc>
        <w:tc>
          <w:tcPr>
            <w:tcW w:type="dxa" w:w="2160"/>
            <w:shd w:val="clear" w:fill="1f3d6b"/>
          </w:tcPr>
          <w:p>
            <w:r/>
            <w:r>
              <w:rPr>
                <w:b/>
                <w:color w:val="FFFFFF"/>
                <w:sz w:val="17"/>
              </w:rPr>
              <w:t>Main weakness</w:t>
            </w:r>
          </w:p>
        </w:tc>
        <w:tc>
          <w:tcPr>
            <w:tcW w:type="dxa" w:w="2016"/>
            <w:shd w:val="clear" w:fill="1f3d6b"/>
          </w:tcPr>
          <w:p>
            <w:r/>
            <w:r>
              <w:rPr>
                <w:b/>
                <w:color w:val="FFFFFF"/>
                <w:sz w:val="17"/>
              </w:rPr>
              <w:t>Best used for</w:t>
            </w:r>
          </w:p>
        </w:tc>
      </w:tr>
      <w:tr>
        <w:tc>
          <w:tcPr>
            <w:tcW w:type="dxa" w:w="2160"/>
          </w:tcPr>
          <w:p>
            <w:r/>
            <w:r>
              <w:rPr>
                <w:sz w:val="17"/>
              </w:rPr>
              <w:t>Free cash flow</w:t>
            </w:r>
          </w:p>
        </w:tc>
        <w:tc>
          <w:tcPr>
            <w:tcW w:type="dxa" w:w="2448"/>
          </w:tcPr>
          <w:p>
            <w:r/>
            <w:r>
              <w:rPr>
                <w:sz w:val="17"/>
              </w:rPr>
              <w:t>Actual cash generated</w:t>
            </w:r>
          </w:p>
        </w:tc>
        <w:tc>
          <w:tcPr>
            <w:tcW w:type="dxa" w:w="2304"/>
          </w:tcPr>
          <w:p>
            <w:r/>
            <w:r>
              <w:rPr>
                <w:sz w:val="17"/>
              </w:rPr>
              <w:t>Hard to manipulate; tracks survival</w:t>
            </w:r>
          </w:p>
        </w:tc>
        <w:tc>
          <w:tcPr>
            <w:tcW w:type="dxa" w:w="2160"/>
          </w:tcPr>
          <w:p>
            <w:r/>
            <w:r>
              <w:rPr>
                <w:sz w:val="17"/>
              </w:rPr>
              <w:t>Reduced by necessary capex</w:t>
            </w:r>
          </w:p>
        </w:tc>
        <w:tc>
          <w:tcPr>
            <w:tcW w:type="dxa" w:w="2016"/>
          </w:tcPr>
          <w:p>
            <w:r/>
            <w:r>
              <w:rPr>
                <w:sz w:val="17"/>
              </w:rPr>
              <w:t>Cash / going-concern situations</w:t>
            </w:r>
          </w:p>
        </w:tc>
      </w:tr>
      <w:tr>
        <w:tc>
          <w:tcPr>
            <w:tcW w:type="dxa" w:w="2160"/>
          </w:tcPr>
          <w:p>
            <w:r/>
            <w:r>
              <w:rPr>
                <w:sz w:val="17"/>
              </w:rPr>
              <w:t>Reduction in operating cost / loss</w:t>
            </w:r>
          </w:p>
        </w:tc>
        <w:tc>
          <w:tcPr>
            <w:tcW w:type="dxa" w:w="2448"/>
          </w:tcPr>
          <w:p>
            <w:r/>
            <w:r>
              <w:rPr>
                <w:sz w:val="17"/>
              </w:rPr>
              <w:t>Cost efficiency and a smaller loss</w:t>
            </w:r>
          </w:p>
        </w:tc>
        <w:tc>
          <w:tcPr>
            <w:tcW w:type="dxa" w:w="2304"/>
          </w:tcPr>
          <w:p>
            <w:r/>
            <w:r>
              <w:rPr>
                <w:sz w:val="17"/>
              </w:rPr>
              <w:t>Controllable and achievable now</w:t>
            </w:r>
          </w:p>
        </w:tc>
        <w:tc>
          <w:tcPr>
            <w:tcW w:type="dxa" w:w="2160"/>
          </w:tcPr>
          <w:p>
            <w:r/>
            <w:r>
              <w:rPr>
                <w:sz w:val="17"/>
              </w:rPr>
              <w:t>Blunt version rewards mining less</w:t>
            </w:r>
          </w:p>
        </w:tc>
        <w:tc>
          <w:tcPr>
            <w:tcW w:type="dxa" w:w="2016"/>
          </w:tcPr>
          <w:p>
            <w:r/>
            <w:r>
              <w:rPr>
                <w:sz w:val="17"/>
              </w:rPr>
              <w:t>A realistic near-term target</w:t>
            </w:r>
          </w:p>
        </w:tc>
      </w:tr>
      <w:tr>
        <w:tc>
          <w:tcPr>
            <w:tcW w:type="dxa" w:w="2160"/>
          </w:tcPr>
          <w:p>
            <w:r/>
            <w:r>
              <w:rPr>
                <w:sz w:val="17"/>
              </w:rPr>
              <w:t>Residual income</w:t>
            </w:r>
          </w:p>
        </w:tc>
        <w:tc>
          <w:tcPr>
            <w:tcW w:type="dxa" w:w="2448"/>
          </w:tcPr>
          <w:p>
            <w:r/>
            <w:r>
              <w:rPr>
                <w:sz w:val="17"/>
              </w:rPr>
              <w:t>Value earned above the cost of capital</w:t>
            </w:r>
          </w:p>
        </w:tc>
        <w:tc>
          <w:tcPr>
            <w:tcW w:type="dxa" w:w="2304"/>
          </w:tcPr>
          <w:p>
            <w:r/>
            <w:r>
              <w:rPr>
                <w:sz w:val="17"/>
              </w:rPr>
              <w:t>Simple; avoids the ROI trap</w:t>
            </w:r>
          </w:p>
        </w:tc>
        <w:tc>
          <w:tcPr>
            <w:tcW w:type="dxa" w:w="2160"/>
          </w:tcPr>
          <w:p>
            <w:r/>
            <w:r>
              <w:rPr>
                <w:sz w:val="17"/>
              </w:rPr>
              <w:t>Absolute; needs per-mine data</w:t>
            </w:r>
          </w:p>
        </w:tc>
        <w:tc>
          <w:tcPr>
            <w:tcW w:type="dxa" w:w="2016"/>
          </w:tcPr>
          <w:p>
            <w:r/>
            <w:r>
              <w:rPr>
                <w:sz w:val="17"/>
              </w:rPr>
              <w:t>Divisional / per-mine value reward</w:t>
            </w:r>
          </w:p>
        </w:tc>
      </w:tr>
      <w:tr>
        <w:tc>
          <w:tcPr>
            <w:tcW w:type="dxa" w:w="2160"/>
          </w:tcPr>
          <w:p>
            <w:r/>
            <w:r>
              <w:rPr>
                <w:sz w:val="17"/>
              </w:rPr>
              <w:t>Economic value added</w:t>
            </w:r>
          </w:p>
        </w:tc>
        <w:tc>
          <w:tcPr>
            <w:tcW w:type="dxa" w:w="2448"/>
          </w:tcPr>
          <w:p>
            <w:r/>
            <w:r>
              <w:rPr>
                <w:sz w:val="17"/>
              </w:rPr>
              <w:t>Long-term shareholder value after adjustments</w:t>
            </w:r>
          </w:p>
        </w:tc>
        <w:tc>
          <w:tcPr>
            <w:tcW w:type="dxa" w:w="2304"/>
          </w:tcPr>
          <w:p>
            <w:r/>
            <w:r>
              <w:rPr>
                <w:sz w:val="17"/>
              </w:rPr>
              <w:t>Discourages short-termism; bonus bank</w:t>
            </w:r>
          </w:p>
        </w:tc>
        <w:tc>
          <w:tcPr>
            <w:tcW w:type="dxa" w:w="2160"/>
          </w:tcPr>
          <w:p>
            <w:r/>
            <w:r>
              <w:rPr>
                <w:sz w:val="17"/>
              </w:rPr>
              <w:t>Complex; judgemental; data-heavy</w:t>
            </w:r>
          </w:p>
        </w:tc>
        <w:tc>
          <w:tcPr>
            <w:tcW w:type="dxa" w:w="2016"/>
          </w:tcPr>
          <w:p>
            <w:r/>
            <w:r>
              <w:rPr>
                <w:sz w:val="17"/>
              </w:rPr>
              <w:t>Executive long-term incentive</w:t>
            </w:r>
          </w:p>
        </w:tc>
      </w:tr>
    </w:tbl>
    <w:p>
      <w:pPr>
        <w:spacing w:before="200" w:after="40"/>
        <w:pBdr>
          <w:bottom w:val="single" w:sz="6" w:space="2" w:color="808080"/>
        </w:pBdr>
      </w:pPr>
      <w:r>
        <w:rPr>
          <w:b/>
          <w:color w:val="1F3D6B"/>
          <w:sz w:val="26"/>
        </w:rPr>
        <w:t>7. Applied to Diamante (illustrative, from the pre-release)</w:t>
      </w:r>
    </w:p>
    <w:p>
      <w:pPr>
        <w:spacing w:after="80"/>
      </w:pPr>
      <w:r>
        <w:rPr>
          <w:i w:val="0"/>
          <w:sz w:val="18"/>
        </w:rPr>
        <w:t>Using group figures: NOPAT ≈ (loss before tax R1 719m + finance expense R378m) × 73% = (R979m); net investment (permanent capital) ≈ R4 419m; assumed WACC 12%.</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448"/>
            <w:shd w:val="clear" w:fill="1f3d6b"/>
          </w:tcPr>
          <w:p>
            <w:r/>
            <w:r>
              <w:rPr>
                <w:b/>
                <w:color w:val="FFFFFF"/>
                <w:sz w:val="17"/>
              </w:rPr>
              <w:t>Measure</w:t>
            </w:r>
          </w:p>
        </w:tc>
        <w:tc>
          <w:tcPr>
            <w:tcW w:type="dxa" w:w="4608"/>
            <w:shd w:val="clear" w:fill="1f3d6b"/>
          </w:tcPr>
          <w:p>
            <w:r/>
            <w:r>
              <w:rPr>
                <w:b/>
                <w:color w:val="FFFFFF"/>
                <w:sz w:val="17"/>
              </w:rPr>
              <w:t>Working</w:t>
            </w:r>
          </w:p>
        </w:tc>
        <w:tc>
          <w:tcPr>
            <w:tcW w:type="dxa" w:w="1584"/>
            <w:shd w:val="clear" w:fill="1f3d6b"/>
          </w:tcPr>
          <w:p>
            <w:r/>
            <w:r>
              <w:rPr>
                <w:b/>
                <w:color w:val="FFFFFF"/>
                <w:sz w:val="17"/>
              </w:rPr>
              <w:t>Result / proxy</w:t>
            </w:r>
          </w:p>
        </w:tc>
        <w:tc>
          <w:tcPr>
            <w:tcW w:type="dxa" w:w="2736"/>
            <w:shd w:val="clear" w:fill="1f3d6b"/>
          </w:tcPr>
          <w:p>
            <w:r/>
            <w:r>
              <w:rPr>
                <w:b/>
                <w:color w:val="FFFFFF"/>
                <w:sz w:val="17"/>
              </w:rPr>
              <w:t>Meaning</w:t>
            </w:r>
          </w:p>
        </w:tc>
      </w:tr>
      <w:tr>
        <w:tc>
          <w:tcPr>
            <w:tcW w:type="dxa" w:w="2448"/>
          </w:tcPr>
          <w:p>
            <w:r/>
            <w:r>
              <w:rPr>
                <w:sz w:val="17"/>
              </w:rPr>
              <w:t>Residual income</w:t>
            </w:r>
          </w:p>
        </w:tc>
        <w:tc>
          <w:tcPr>
            <w:tcW w:type="dxa" w:w="4608"/>
          </w:tcPr>
          <w:p>
            <w:r/>
            <w:r>
              <w:rPr>
                <w:sz w:val="17"/>
              </w:rPr>
              <w:t>(979) − (12% × 4 419)</w:t>
            </w:r>
          </w:p>
        </w:tc>
        <w:tc>
          <w:tcPr>
            <w:tcW w:type="dxa" w:w="1584"/>
          </w:tcPr>
          <w:p>
            <w:r/>
            <w:r>
              <w:rPr>
                <w:sz w:val="17"/>
              </w:rPr>
              <w:t>(R1 509m)</w:t>
            </w:r>
          </w:p>
        </w:tc>
        <w:tc>
          <w:tcPr>
            <w:tcW w:type="dxa" w:w="2736"/>
          </w:tcPr>
          <w:p>
            <w:r/>
            <w:r>
              <w:rPr>
                <w:sz w:val="17"/>
              </w:rPr>
              <w:t>Deeply negative — value is being destroyed</w:t>
            </w:r>
          </w:p>
        </w:tc>
      </w:tr>
      <w:tr>
        <w:tc>
          <w:tcPr>
            <w:tcW w:type="dxa" w:w="2448"/>
          </w:tcPr>
          <w:p>
            <w:r/>
            <w:r>
              <w:rPr>
                <w:sz w:val="17"/>
              </w:rPr>
              <w:t>Economic value added</w:t>
            </w:r>
          </w:p>
        </w:tc>
        <w:tc>
          <w:tcPr>
            <w:tcW w:type="dxa" w:w="4608"/>
          </w:tcPr>
          <w:p>
            <w:r/>
            <w:r>
              <w:rPr>
                <w:sz w:val="17"/>
              </w:rPr>
              <w:t>≈ RI after adjustments and a risk-adjusted WACC</w:t>
            </w:r>
          </w:p>
        </w:tc>
        <w:tc>
          <w:tcPr>
            <w:tcW w:type="dxa" w:w="1584"/>
          </w:tcPr>
          <w:p>
            <w:r/>
            <w:r>
              <w:rPr>
                <w:sz w:val="17"/>
              </w:rPr>
              <w:t>≈ (R1 500m)</w:t>
            </w:r>
          </w:p>
        </w:tc>
        <w:tc>
          <w:tcPr>
            <w:tcW w:type="dxa" w:w="2736"/>
          </w:tcPr>
          <w:p>
            <w:r/>
            <w:r>
              <w:rPr>
                <w:sz w:val="17"/>
              </w:rPr>
              <w:t>Same conclusion — value destruction</w:t>
            </w:r>
          </w:p>
        </w:tc>
      </w:tr>
      <w:tr>
        <w:tc>
          <w:tcPr>
            <w:tcW w:type="dxa" w:w="2448"/>
          </w:tcPr>
          <w:p>
            <w:r/>
            <w:r>
              <w:rPr>
                <w:sz w:val="17"/>
              </w:rPr>
              <w:t>Free cash flow</w:t>
            </w:r>
          </w:p>
        </w:tc>
        <w:tc>
          <w:tcPr>
            <w:tcW w:type="dxa" w:w="4608"/>
          </w:tcPr>
          <w:p>
            <w:r/>
            <w:r>
              <w:rPr>
                <w:sz w:val="17"/>
              </w:rPr>
              <w:t>No cash flow statement; adjusted EBITDA of R207m is the best proxy</w:t>
            </w:r>
          </w:p>
        </w:tc>
        <w:tc>
          <w:tcPr>
            <w:tcW w:type="dxa" w:w="1584"/>
          </w:tcPr>
          <w:p>
            <w:r/>
            <w:r>
              <w:rPr>
                <w:sz w:val="17"/>
              </w:rPr>
              <w:t>≈ R207m</w:t>
            </w:r>
          </w:p>
        </w:tc>
        <w:tc>
          <w:tcPr>
            <w:tcW w:type="dxa" w:w="2736"/>
          </w:tcPr>
          <w:p>
            <w:r/>
            <w:r>
              <w:rPr>
                <w:sz w:val="17"/>
              </w:rPr>
              <w:t>Weak positive cash, more than halved from R540m</w:t>
            </w:r>
          </w:p>
        </w:tc>
      </w:tr>
      <w:tr>
        <w:tc>
          <w:tcPr>
            <w:tcW w:type="dxa" w:w="2448"/>
          </w:tcPr>
          <w:p>
            <w:r/>
            <w:r>
              <w:rPr>
                <w:sz w:val="17"/>
              </w:rPr>
              <w:t>Reduction in operating cost / loss</w:t>
            </w:r>
          </w:p>
        </w:tc>
        <w:tc>
          <w:tcPr>
            <w:tcW w:type="dxa" w:w="4608"/>
          </w:tcPr>
          <w:p>
            <w:r/>
            <w:r>
              <w:rPr>
                <w:sz w:val="17"/>
              </w:rPr>
              <w:t>Operating loss (1 638) vs (864) prior; mining costs 2 295 vs 2 817</w:t>
            </w:r>
          </w:p>
        </w:tc>
        <w:tc>
          <w:tcPr>
            <w:tcW w:type="dxa" w:w="1584"/>
          </w:tcPr>
          <w:p>
            <w:r/>
            <w:r>
              <w:rPr>
                <w:sz w:val="17"/>
              </w:rPr>
              <w:t>loss worsened</w:t>
            </w:r>
          </w:p>
        </w:tc>
        <w:tc>
          <w:tcPr>
            <w:tcW w:type="dxa" w:w="2736"/>
          </w:tcPr>
          <w:p>
            <w:r/>
            <w:r>
              <w:rPr>
                <w:sz w:val="17"/>
              </w:rPr>
              <w:t>A realistic target would be to reduce the operating loss and cost per carat next year</w:t>
            </w:r>
          </w:p>
        </w:tc>
      </w:tr>
    </w:tbl>
    <w:p>
      <w:pPr>
        <w:spacing w:before="200" w:after="40"/>
        <w:pBdr>
          <w:bottom w:val="single" w:sz="6" w:space="2" w:color="808080"/>
        </w:pBdr>
      </w:pPr>
      <w:r>
        <w:rPr>
          <w:b/>
          <w:color w:val="1F3D6B"/>
          <w:sz w:val="26"/>
        </w:rPr>
        <w:t>8. Ranked recommendation of alternative KPIs for Diamante</w:t>
      </w:r>
    </w:p>
    <w:p>
      <w:pPr>
        <w:spacing w:after="80"/>
      </w:pPr>
      <w:r>
        <w:rPr>
          <w:i/>
          <w:sz w:val="18"/>
        </w:rPr>
        <w:t>Ranked by how suitable each is for Diamante now, judged on relevance to survival, controllability, achievability, resistance to manipulation, and the data available.</w:t>
      </w:r>
    </w:p>
    <w:tbl>
      <w:tblPr>
        <w:tblStyle w:val="TableGrid"/>
        <w:tblW w:type="auto" w:w="0"/>
        <w:jc w:val="center"/>
        <w:tblLook w:firstColumn="1" w:firstRow="1" w:lastColumn="0" w:lastRow="0" w:noHBand="0" w:noVBand="1" w:val="04A0"/>
      </w:tblPr>
      <w:tblGrid>
        <w:gridCol w:w="3504"/>
        <w:gridCol w:w="3504"/>
        <w:gridCol w:w="3504"/>
      </w:tblGrid>
      <w:tr>
        <w:tc>
          <w:tcPr>
            <w:tcW w:type="dxa" w:w="720"/>
            <w:shd w:val="clear" w:fill="1f3d6b"/>
          </w:tcPr>
          <w:p>
            <w:r/>
            <w:r>
              <w:rPr>
                <w:b/>
                <w:color w:val="FFFFFF"/>
                <w:sz w:val="17"/>
              </w:rPr>
              <w:t>Rank</w:t>
            </w:r>
          </w:p>
        </w:tc>
        <w:tc>
          <w:tcPr>
            <w:tcW w:type="dxa" w:w="3168"/>
            <w:shd w:val="clear" w:fill="1f3d6b"/>
          </w:tcPr>
          <w:p>
            <w:r/>
            <w:r>
              <w:rPr>
                <w:b/>
                <w:color w:val="FFFFFF"/>
                <w:sz w:val="17"/>
              </w:rPr>
              <w:t>Measure</w:t>
            </w:r>
          </w:p>
        </w:tc>
        <w:tc>
          <w:tcPr>
            <w:tcW w:type="dxa" w:w="6480"/>
            <w:shd w:val="clear" w:fill="1f3d6b"/>
          </w:tcPr>
          <w:p>
            <w:r/>
            <w:r>
              <w:rPr>
                <w:b/>
                <w:color w:val="FFFFFF"/>
                <w:sz w:val="17"/>
              </w:rPr>
              <w:t>Why it is chosen and placed here for Diamante</w:t>
            </w:r>
          </w:p>
        </w:tc>
      </w:tr>
      <w:tr>
        <w:tc>
          <w:tcPr>
            <w:tcW w:type="dxa" w:w="720"/>
          </w:tcPr>
          <w:p>
            <w:r/>
            <w:r>
              <w:rPr>
                <w:sz w:val="17"/>
              </w:rPr>
              <w:t>1</w:t>
            </w:r>
          </w:p>
        </w:tc>
        <w:tc>
          <w:tcPr>
            <w:tcW w:type="dxa" w:w="3168"/>
          </w:tcPr>
          <w:p>
            <w:r/>
            <w:r>
              <w:rPr>
                <w:sz w:val="17"/>
              </w:rPr>
              <w:t>Free cash flow</w:t>
            </w:r>
          </w:p>
        </w:tc>
        <w:tc>
          <w:tcPr>
            <w:tcW w:type="dxa" w:w="6480"/>
          </w:tcPr>
          <w:p>
            <w:r/>
            <w:r>
              <w:rPr>
                <w:sz w:val="17"/>
              </w:rPr>
              <w:t>Diamante’s number one priority is survival and completing the refinancing, and free cash flow rewards exactly the cash that pays down debt. It is highly controllable, very hard to manipulate, and can be gated to the refinancing, so it is the single best fit right now.</w:t>
            </w:r>
          </w:p>
        </w:tc>
      </w:tr>
      <w:tr>
        <w:tc>
          <w:tcPr>
            <w:tcW w:type="dxa" w:w="720"/>
          </w:tcPr>
          <w:p>
            <w:r/>
            <w:r>
              <w:rPr>
                <w:sz w:val="17"/>
              </w:rPr>
              <w:t>2</w:t>
            </w:r>
          </w:p>
        </w:tc>
        <w:tc>
          <w:tcPr>
            <w:tcW w:type="dxa" w:w="3168"/>
          </w:tcPr>
          <w:p>
            <w:r/>
            <w:r>
              <w:rPr>
                <w:sz w:val="17"/>
              </w:rPr>
              <w:t>Reduction in operating cost / operating loss (as cost per carat)</w:t>
            </w:r>
          </w:p>
        </w:tc>
        <w:tc>
          <w:tcPr>
            <w:tcW w:type="dxa" w:w="6480"/>
          </w:tcPr>
          <w:p>
            <w:r/>
            <w:r>
              <w:rPr>
                <w:sz w:val="17"/>
              </w:rPr>
              <w:t>It is controllable and, unlike the impossible profit-growth target, it is achievable and motivating for a loss-making company. It directly addresses the fact that mining costs exceed revenue, provided it is measured as cost per carat with a safety and volume guardrail so managers cannot win by mining less.</w:t>
            </w:r>
          </w:p>
        </w:tc>
      </w:tr>
      <w:tr>
        <w:tc>
          <w:tcPr>
            <w:tcW w:type="dxa" w:w="720"/>
          </w:tcPr>
          <w:p>
            <w:r/>
            <w:r>
              <w:rPr>
                <w:sz w:val="17"/>
              </w:rPr>
              <w:t>3</w:t>
            </w:r>
          </w:p>
        </w:tc>
        <w:tc>
          <w:tcPr>
            <w:tcW w:type="dxa" w:w="3168"/>
          </w:tcPr>
          <w:p>
            <w:r/>
            <w:r>
              <w:rPr>
                <w:sz w:val="17"/>
              </w:rPr>
              <w:t>Residual income</w:t>
            </w:r>
          </w:p>
        </w:tc>
        <w:tc>
          <w:tcPr>
            <w:tcW w:type="dxa" w:w="6480"/>
          </w:tcPr>
          <w:p>
            <w:r/>
            <w:r>
              <w:rPr>
                <w:sz w:val="17"/>
              </w:rPr>
              <w:t>It is the best simple measure of real value creation above the cost of capital and corrects the flaws of profit and ROI. It ranks below the first two because it is deeply negative now (which can demotivate) and it needs per-mine asset data that Diamante does not yet disclose.</w:t>
            </w:r>
          </w:p>
        </w:tc>
      </w:tr>
      <w:tr>
        <w:tc>
          <w:tcPr>
            <w:tcW w:type="dxa" w:w="720"/>
          </w:tcPr>
          <w:p>
            <w:r/>
            <w:r>
              <w:rPr>
                <w:sz w:val="17"/>
              </w:rPr>
              <w:t>4</w:t>
            </w:r>
          </w:p>
        </w:tc>
        <w:tc>
          <w:tcPr>
            <w:tcW w:type="dxa" w:w="3168"/>
          </w:tcPr>
          <w:p>
            <w:r/>
            <w:r>
              <w:rPr>
                <w:sz w:val="17"/>
              </w:rPr>
              <w:t>Economic value added</w:t>
            </w:r>
          </w:p>
        </w:tc>
        <w:tc>
          <w:tcPr>
            <w:tcW w:type="dxa" w:w="6480"/>
          </w:tcPr>
          <w:p>
            <w:r/>
            <w:r>
              <w:rPr>
                <w:sz w:val="17"/>
              </w:rPr>
              <w:t>It is the theoretically strongest measure of shareholder value and best discourages short-term decisions. It ranks last for now only because it is the most complex and data-heavy, relies on judgemental adjustments and a risk-adjusted WACC, and is deeply negative in the current downturn, so it is best reserved as a longer-term executive measure once recovery is underway.</w:t>
            </w:r>
          </w:p>
        </w:tc>
      </w:tr>
    </w:tbl>
    <w:p>
      <w:pPr>
        <w:spacing w:before="100" w:after="20"/>
      </w:pPr>
      <w:r>
        <w:rPr>
          <w:b/>
          <w:color w:val="1F3D6B"/>
          <w:sz w:val="22"/>
        </w:rPr>
        <w:t>Substantiation summary</w:t>
      </w:r>
    </w:p>
    <w:p>
      <w:pPr>
        <w:pStyle w:val="ListBullet"/>
        <w:spacing w:after="60"/>
      </w:pPr>
      <w:r>
        <w:rPr>
          <w:sz w:val="20"/>
        </w:rPr>
        <w:t>Free cash flow is first, because cash and the refinancing are what keep Diamante alive, and it cannot easily be gamed.</w:t>
      </w:r>
    </w:p>
    <w:p>
      <w:pPr>
        <w:pStyle w:val="ListBullet"/>
        <w:spacing w:after="60"/>
      </w:pPr>
      <w:r>
        <w:rPr>
          <w:sz w:val="20"/>
        </w:rPr>
        <w:t>Reduction in operating cost or loss is second, because it is the most achievable and controllable near-term target for a loss-making company, and it attacks the core cost problem directly.</w:t>
      </w:r>
    </w:p>
    <w:p>
      <w:pPr>
        <w:pStyle w:val="ListBullet"/>
        <w:spacing w:after="60"/>
      </w:pPr>
      <w:r>
        <w:rPr>
          <w:sz w:val="20"/>
        </w:rPr>
        <w:t>Residual income is third, because it rewards genuine value creation but is negative now and needs divisional data that is missing.</w:t>
      </w:r>
    </w:p>
    <w:p>
      <w:pPr>
        <w:pStyle w:val="ListBullet"/>
        <w:spacing w:after="60"/>
      </w:pPr>
      <w:r>
        <w:rPr>
          <w:sz w:val="20"/>
        </w:rPr>
        <w:t>Economic value added is fourth, because it is the strongest measure in theory but the hardest to apply during a crisis, so it fits better as a recovery-phase executive measure.</w:t>
      </w:r>
    </w:p>
    <w:p>
      <w:pPr>
        <w:pStyle w:val="ListBullet"/>
        <w:spacing w:after="60"/>
      </w:pPr>
      <w:r>
        <w:rPr>
          <w:sz w:val="20"/>
        </w:rPr>
        <w:t>In practice Diamante should use a combination rather than one measure, with free cash flow and cost per carat rewarded first, residual income added as data improves, and EVA introduced as the long-term executive layer.</w:t>
      </w:r>
    </w:p>
    <w:p>
      <w:pPr>
        <w:spacing w:before="200" w:after="40"/>
        <w:pBdr>
          <w:bottom w:val="single" w:sz="6" w:space="2" w:color="808080"/>
        </w:pBdr>
      </w:pPr>
      <w:r>
        <w:rPr>
          <w:b/>
          <w:color w:val="1F3D6B"/>
          <w:sz w:val="26"/>
        </w:rPr>
        <w:t>9. Key points for using these in an incentive scheme</w:t>
      </w:r>
    </w:p>
    <w:p>
      <w:pPr>
        <w:pStyle w:val="ListBullet"/>
        <w:spacing w:after="60"/>
      </w:pPr>
      <w:r>
        <w:rPr>
          <w:sz w:val="20"/>
        </w:rPr>
        <w:t>Reward managers only for the value or cash they can control, and risk-adjust the WACC for each division.</w:t>
      </w:r>
    </w:p>
    <w:p>
      <w:pPr>
        <w:pStyle w:val="ListBullet"/>
        <w:spacing w:after="60"/>
      </w:pPr>
      <w:r>
        <w:rPr>
          <w:sz w:val="20"/>
        </w:rPr>
        <w:t>Attach a bonus bank, so part of the reward is held back and forfeited when value is destroyed.</w:t>
      </w:r>
    </w:p>
    <w:p>
      <w:pPr>
        <w:pStyle w:val="ListBullet"/>
        <w:spacing w:after="60"/>
      </w:pPr>
      <w:r>
        <w:rPr>
          <w:sz w:val="20"/>
        </w:rPr>
        <w:t>Tier the measures, with executives on group free cash flow and EVA and mine managers on their own cost per carat and residual income.</w:t>
      </w:r>
    </w:p>
    <w:p>
      <w:pPr>
        <w:pStyle w:val="ListBullet"/>
        <w:spacing w:after="60"/>
      </w:pPr>
      <w:r>
        <w:rPr>
          <w:sz w:val="20"/>
        </w:rPr>
        <w:t>These measures are far harder to manipulate than accounting profit growth or a percentage return, which is why they make a better incentive basis.</w:t>
      </w:r>
    </w:p>
    <w:p>
      <w:pPr>
        <w:spacing w:after="80"/>
      </w:pPr>
      <w:r>
        <w:rPr>
          <w:i/>
          <w:sz w:val="17"/>
        </w:rPr>
        <w:t>Based on the IAC 2026 MAF performance-evaluation notes and the free cash flow method; the tax factor reflects the 27% rate. Diamante figures are illustrative from the draft pre-release.</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