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D6B"/>
          <w:sz w:val="30"/>
        </w:rPr>
        <w:t>Diamante Ltd — APC 2026 Pre-release Research</w:t>
      </w:r>
    </w:p>
    <w:p>
      <w:r>
        <w:rPr>
          <w:i/>
          <w:color w:val="555555"/>
          <w:sz w:val="19"/>
        </w:rPr>
        <w:t>Focus trigger: Document 5 — Performance bonuses (new long-term share incentive scheme). Detailed, applied analysis of (1) the financial ratios, (2) the proposed KPIs, (3) better KPI options, and (4) the ethics — all tied to Diamante’s actual FY2026 numbers and situation.</w:t>
      </w:r>
    </w:p>
    <w:p>
      <w:pPr>
        <w:spacing w:before="240" w:after="60"/>
        <w:pBdr>
          <w:bottom w:val="single" w:sz="6" w:space="2" w:color="808080"/>
        </w:pBdr>
      </w:pPr>
      <w:r>
        <w:rPr>
          <w:b/>
          <w:color w:val="1F3D6B"/>
          <w:sz w:val="26"/>
        </w:rPr>
        <w:t>1. In-depth evaluation of the financial ratios</w:t>
      </w:r>
    </w:p>
    <w:p>
      <w:pPr>
        <w:spacing w:after="80"/>
      </w:pPr>
      <w:r>
        <w:rPr>
          <w:b w:val="0"/>
          <w:i/>
          <w:sz w:val="19"/>
        </w:rPr>
        <w:t>Figures are R millions from the draft FY2026 accounts. Under each table I apply the numbers to Diamante specifically, because the state of the business decides whether the Document 5 KPIs are realistic or not.</w:t>
      </w:r>
    </w:p>
    <w:p>
      <w:pPr>
        <w:spacing w:before="120" w:after="40"/>
      </w:pPr>
      <w:r>
        <w:rPr>
          <w:b/>
          <w:color w:val="1F3D6B"/>
          <w:sz w:val="22"/>
        </w:rPr>
        <w:t>1.1 Profitability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448"/>
            <w:shd w:val="clear" w:fill="1f3d6b"/>
          </w:tcPr>
          <w:p>
            <w:r/>
            <w:r>
              <w:rPr>
                <w:b/>
                <w:color w:val="FFFFFF"/>
                <w:sz w:val="18"/>
              </w:rPr>
              <w:t>Ratio</w:t>
            </w:r>
          </w:p>
        </w:tc>
        <w:tc>
          <w:tcPr>
            <w:tcW w:type="dxa" w:w="936"/>
            <w:shd w:val="clear" w:fill="1f3d6b"/>
          </w:tcPr>
          <w:p>
            <w:r/>
            <w:r>
              <w:rPr>
                <w:b/>
                <w:color w:val="FFFFFF"/>
                <w:sz w:val="18"/>
              </w:rPr>
              <w:t>2026</w:t>
            </w:r>
          </w:p>
        </w:tc>
        <w:tc>
          <w:tcPr>
            <w:tcW w:type="dxa" w:w="936"/>
            <w:shd w:val="clear" w:fill="1f3d6b"/>
          </w:tcPr>
          <w:p>
            <w:r/>
            <w:r>
              <w:rPr>
                <w:b/>
                <w:color w:val="FFFFFF"/>
                <w:sz w:val="18"/>
              </w:rPr>
              <w:t>2025</w:t>
            </w:r>
          </w:p>
        </w:tc>
        <w:tc>
          <w:tcPr>
            <w:tcW w:type="dxa" w:w="2736"/>
            <w:shd w:val="clear" w:fill="1f3d6b"/>
          </w:tcPr>
          <w:p>
            <w:r/>
            <w:r>
              <w:rPr>
                <w:b/>
                <w:color w:val="FFFFFF"/>
                <w:sz w:val="18"/>
              </w:rPr>
              <w:t>Working</w:t>
            </w:r>
          </w:p>
        </w:tc>
        <w:tc>
          <w:tcPr>
            <w:tcW w:type="dxa" w:w="3960"/>
            <w:shd w:val="clear" w:fill="1f3d6b"/>
          </w:tcPr>
          <w:p>
            <w:r/>
            <w:r>
              <w:rPr>
                <w:b/>
                <w:color w:val="FFFFFF"/>
                <w:sz w:val="18"/>
              </w:rPr>
              <w:t>Read-across</w:t>
            </w:r>
          </w:p>
        </w:tc>
      </w:tr>
      <w:tr>
        <w:tc>
          <w:tcPr>
            <w:tcW w:type="dxa" w:w="2448"/>
          </w:tcPr>
          <w:p>
            <w:r/>
            <w:r>
              <w:rPr>
                <w:sz w:val="18"/>
              </w:rPr>
              <w:t>Revenue</w:t>
            </w:r>
          </w:p>
        </w:tc>
        <w:tc>
          <w:tcPr>
            <w:tcW w:type="dxa" w:w="936"/>
          </w:tcPr>
          <w:p>
            <w:r/>
            <w:r>
              <w:rPr>
                <w:sz w:val="18"/>
              </w:rPr>
              <w:t>1 863</w:t>
            </w:r>
          </w:p>
        </w:tc>
        <w:tc>
          <w:tcPr>
            <w:tcW w:type="dxa" w:w="936"/>
          </w:tcPr>
          <w:p>
            <w:r/>
            <w:r>
              <w:rPr>
                <w:sz w:val="18"/>
              </w:rPr>
              <w:t>2 790</w:t>
            </w:r>
          </w:p>
        </w:tc>
        <w:tc>
          <w:tcPr>
            <w:tcW w:type="dxa" w:w="2736"/>
          </w:tcPr>
          <w:p>
            <w:r/>
            <w:r>
              <w:rPr>
                <w:sz w:val="18"/>
              </w:rPr>
              <w:t>Mine 1 1 233 + Mine 2 630</w:t>
            </w:r>
          </w:p>
        </w:tc>
        <w:tc>
          <w:tcPr>
            <w:tcW w:type="dxa" w:w="3960"/>
          </w:tcPr>
          <w:p>
            <w:r/>
            <w:r>
              <w:rPr>
                <w:sz w:val="18"/>
              </w:rPr>
              <w:t>−33%: price slump + weak product mix + deferring tenders</w:t>
            </w:r>
          </w:p>
        </w:tc>
      </w:tr>
      <w:tr>
        <w:tc>
          <w:tcPr>
            <w:tcW w:type="dxa" w:w="2448"/>
          </w:tcPr>
          <w:p>
            <w:r/>
            <w:r>
              <w:rPr>
                <w:sz w:val="18"/>
              </w:rPr>
              <w:t>Operating margin</w:t>
            </w:r>
          </w:p>
        </w:tc>
        <w:tc>
          <w:tcPr>
            <w:tcW w:type="dxa" w:w="936"/>
          </w:tcPr>
          <w:p>
            <w:r/>
            <w:r>
              <w:rPr>
                <w:sz w:val="18"/>
              </w:rPr>
              <w:t>(87.9%)</w:t>
            </w:r>
          </w:p>
        </w:tc>
        <w:tc>
          <w:tcPr>
            <w:tcW w:type="dxa" w:w="936"/>
          </w:tcPr>
          <w:p>
            <w:r/>
            <w:r>
              <w:rPr>
                <w:sz w:val="18"/>
              </w:rPr>
              <w:t>(31.0%)</w:t>
            </w:r>
          </w:p>
        </w:tc>
        <w:tc>
          <w:tcPr>
            <w:tcW w:type="dxa" w:w="2736"/>
          </w:tcPr>
          <w:p>
            <w:r/>
            <w:r>
              <w:rPr>
                <w:sz w:val="18"/>
              </w:rPr>
              <w:t>(1 638) ÷ 1 863</w:t>
            </w:r>
          </w:p>
        </w:tc>
        <w:tc>
          <w:tcPr>
            <w:tcW w:type="dxa" w:w="3960"/>
          </w:tcPr>
          <w:p>
            <w:r/>
            <w:r>
              <w:rPr>
                <w:sz w:val="18"/>
              </w:rPr>
              <w:t>Deep operating loss, nearly 3× worse</w:t>
            </w:r>
          </w:p>
        </w:tc>
      </w:tr>
      <w:tr>
        <w:tc>
          <w:tcPr>
            <w:tcW w:type="dxa" w:w="2448"/>
          </w:tcPr>
          <w:p>
            <w:r/>
            <w:r>
              <w:rPr>
                <w:sz w:val="18"/>
              </w:rPr>
              <w:t>Op margin excl. impairments</w:t>
            </w:r>
          </w:p>
        </w:tc>
        <w:tc>
          <w:tcPr>
            <w:tcW w:type="dxa" w:w="936"/>
          </w:tcPr>
          <w:p>
            <w:r/>
            <w:r>
              <w:rPr>
                <w:sz w:val="18"/>
              </w:rPr>
              <w:t>(25.1%)</w:t>
            </w:r>
          </w:p>
        </w:tc>
        <w:tc>
          <w:tcPr>
            <w:tcW w:type="dxa" w:w="936"/>
          </w:tcPr>
          <w:p>
            <w:r/>
            <w:r>
              <w:rPr>
                <w:sz w:val="18"/>
              </w:rPr>
              <w:t>(4.8%)</w:t>
            </w:r>
          </w:p>
        </w:tc>
        <w:tc>
          <w:tcPr>
            <w:tcW w:type="dxa" w:w="2736"/>
          </w:tcPr>
          <w:p>
            <w:r/>
            <w:r>
              <w:rPr>
                <w:sz w:val="18"/>
              </w:rPr>
              <w:t>(1 638+1 170) ÷ 1 863</w:t>
            </w:r>
          </w:p>
        </w:tc>
        <w:tc>
          <w:tcPr>
            <w:tcW w:type="dxa" w:w="3960"/>
          </w:tcPr>
          <w:p>
            <w:r/>
            <w:r>
              <w:rPr>
                <w:sz w:val="18"/>
              </w:rPr>
              <w:t>Core mining loses money even before impairments</w:t>
            </w:r>
          </w:p>
        </w:tc>
      </w:tr>
      <w:tr>
        <w:tc>
          <w:tcPr>
            <w:tcW w:type="dxa" w:w="2448"/>
          </w:tcPr>
          <w:p>
            <w:r/>
            <w:r>
              <w:rPr>
                <w:sz w:val="18"/>
              </w:rPr>
              <w:t>Mining cost : revenue</w:t>
            </w:r>
          </w:p>
        </w:tc>
        <w:tc>
          <w:tcPr>
            <w:tcW w:type="dxa" w:w="936"/>
          </w:tcPr>
          <w:p>
            <w:r/>
            <w:r>
              <w:rPr>
                <w:sz w:val="18"/>
              </w:rPr>
              <w:t>123%</w:t>
            </w:r>
          </w:p>
        </w:tc>
        <w:tc>
          <w:tcPr>
            <w:tcW w:type="dxa" w:w="936"/>
          </w:tcPr>
          <w:p>
            <w:r/>
            <w:r>
              <w:rPr>
                <w:sz w:val="18"/>
              </w:rPr>
              <w:t>101%</w:t>
            </w:r>
          </w:p>
        </w:tc>
        <w:tc>
          <w:tcPr>
            <w:tcW w:type="dxa" w:w="2736"/>
          </w:tcPr>
          <w:p>
            <w:r/>
            <w:r>
              <w:rPr>
                <w:sz w:val="18"/>
              </w:rPr>
              <w:t>2 295 ÷ 1 863</w:t>
            </w:r>
          </w:p>
        </w:tc>
        <w:tc>
          <w:tcPr>
            <w:tcW w:type="dxa" w:w="3960"/>
          </w:tcPr>
          <w:p>
            <w:r/>
            <w:r>
              <w:rPr>
                <w:sz w:val="18"/>
              </w:rPr>
              <w:t>Mining costs now exceed revenue</w:t>
            </w:r>
          </w:p>
        </w:tc>
      </w:tr>
      <w:tr>
        <w:tc>
          <w:tcPr>
            <w:tcW w:type="dxa" w:w="2448"/>
          </w:tcPr>
          <w:p>
            <w:r/>
            <w:r>
              <w:rPr>
                <w:sz w:val="18"/>
              </w:rPr>
              <w:t>Net loss margin</w:t>
            </w:r>
          </w:p>
        </w:tc>
        <w:tc>
          <w:tcPr>
            <w:tcW w:type="dxa" w:w="936"/>
          </w:tcPr>
          <w:p>
            <w:r/>
            <w:r>
              <w:rPr>
                <w:sz w:val="18"/>
              </w:rPr>
              <w:t>(56.0%)</w:t>
            </w:r>
          </w:p>
        </w:tc>
        <w:tc>
          <w:tcPr>
            <w:tcW w:type="dxa" w:w="936"/>
          </w:tcPr>
          <w:p>
            <w:r/>
            <w:r>
              <w:rPr>
                <w:sz w:val="18"/>
              </w:rPr>
              <w:t>(34.5%)</w:t>
            </w:r>
          </w:p>
        </w:tc>
        <w:tc>
          <w:tcPr>
            <w:tcW w:type="dxa" w:w="2736"/>
          </w:tcPr>
          <w:p>
            <w:r/>
            <w:r>
              <w:rPr>
                <w:sz w:val="18"/>
              </w:rPr>
              <w:t>(1 044) ÷ 1 863</w:t>
            </w:r>
          </w:p>
        </w:tc>
        <w:tc>
          <w:tcPr>
            <w:tcW w:type="dxa" w:w="3960"/>
          </w:tcPr>
          <w:p>
            <w:r/>
            <w:r>
              <w:rPr>
                <w:sz w:val="18"/>
              </w:rPr>
              <w:t>Large net loss</w:t>
            </w:r>
          </w:p>
        </w:tc>
      </w:tr>
      <w:tr>
        <w:tc>
          <w:tcPr>
            <w:tcW w:type="dxa" w:w="2448"/>
          </w:tcPr>
          <w:p>
            <w:r/>
            <w:r>
              <w:rPr>
                <w:sz w:val="18"/>
              </w:rPr>
              <w:t>Adjusted EBITDA</w:t>
            </w:r>
          </w:p>
        </w:tc>
        <w:tc>
          <w:tcPr>
            <w:tcW w:type="dxa" w:w="936"/>
          </w:tcPr>
          <w:p>
            <w:r/>
            <w:r>
              <w:rPr>
                <w:sz w:val="18"/>
              </w:rPr>
              <w:t>207</w:t>
            </w:r>
          </w:p>
        </w:tc>
        <w:tc>
          <w:tcPr>
            <w:tcW w:type="dxa" w:w="936"/>
          </w:tcPr>
          <w:p>
            <w:r/>
            <w:r>
              <w:rPr>
                <w:sz w:val="18"/>
              </w:rPr>
              <w:t>540</w:t>
            </w:r>
          </w:p>
        </w:tc>
        <w:tc>
          <w:tcPr>
            <w:tcW w:type="dxa" w:w="2736"/>
          </w:tcPr>
          <w:p>
            <w:r/>
            <w:r>
              <w:rPr>
                <w:sz w:val="18"/>
              </w:rPr>
              <w:t>(1 638)+675 dep+1 170 impair</w:t>
            </w:r>
          </w:p>
        </w:tc>
        <w:tc>
          <w:tcPr>
            <w:tcW w:type="dxa" w:w="3960"/>
          </w:tcPr>
          <w:p>
            <w:r/>
            <w:r>
              <w:rPr>
                <w:sz w:val="18"/>
              </w:rPr>
              <w:t>Cash earnings positive but more than halved</w:t>
            </w:r>
          </w:p>
        </w:tc>
      </w:tr>
      <w:tr>
        <w:tc>
          <w:tcPr>
            <w:tcW w:type="dxa" w:w="2448"/>
          </w:tcPr>
          <w:p>
            <w:r/>
            <w:r>
              <w:rPr>
                <w:sz w:val="18"/>
              </w:rPr>
              <w:t>Return on equity</w:t>
            </w:r>
          </w:p>
        </w:tc>
        <w:tc>
          <w:tcPr>
            <w:tcW w:type="dxa" w:w="936"/>
          </w:tcPr>
          <w:p>
            <w:r/>
            <w:r>
              <w:rPr>
                <w:sz w:val="18"/>
              </w:rPr>
              <w:t>(117%)</w:t>
            </w:r>
          </w:p>
        </w:tc>
        <w:tc>
          <w:tcPr>
            <w:tcW w:type="dxa" w:w="936"/>
          </w:tcPr>
          <w:p>
            <w:r/>
            <w:r>
              <w:rPr>
                <w:sz w:val="18"/>
              </w:rPr>
              <w:t>(50%)</w:t>
            </w:r>
          </w:p>
        </w:tc>
        <w:tc>
          <w:tcPr>
            <w:tcW w:type="dxa" w:w="2736"/>
          </w:tcPr>
          <w:p>
            <w:r/>
            <w:r>
              <w:rPr>
                <w:sz w:val="18"/>
              </w:rPr>
              <w:t>(1 044) ÷ 891</w:t>
            </w:r>
          </w:p>
        </w:tc>
        <w:tc>
          <w:tcPr>
            <w:tcW w:type="dxa" w:w="3960"/>
          </w:tcPr>
          <w:p>
            <w:r/>
            <w:r>
              <w:rPr>
                <w:sz w:val="18"/>
              </w:rPr>
              <w:t>Destroying shareholder value</w:t>
            </w:r>
          </w:p>
        </w:tc>
      </w:tr>
      <w:tr>
        <w:tc>
          <w:tcPr>
            <w:tcW w:type="dxa" w:w="2448"/>
          </w:tcPr>
          <w:p>
            <w:r/>
            <w:r>
              <w:rPr>
                <w:sz w:val="18"/>
              </w:rPr>
              <w:t>Return on assets</w:t>
            </w:r>
          </w:p>
        </w:tc>
        <w:tc>
          <w:tcPr>
            <w:tcW w:type="dxa" w:w="936"/>
          </w:tcPr>
          <w:p>
            <w:r/>
            <w:r>
              <w:rPr>
                <w:sz w:val="18"/>
              </w:rPr>
              <w:t>(21.5%)</w:t>
            </w:r>
          </w:p>
        </w:tc>
        <w:tc>
          <w:tcPr>
            <w:tcW w:type="dxa" w:w="936"/>
          </w:tcPr>
          <w:p>
            <w:r/>
            <w:r>
              <w:rPr>
                <w:sz w:val="18"/>
              </w:rPr>
              <w:t>(14.2%)</w:t>
            </w:r>
          </w:p>
        </w:tc>
        <w:tc>
          <w:tcPr>
            <w:tcW w:type="dxa" w:w="2736"/>
          </w:tcPr>
          <w:p>
            <w:r/>
            <w:r>
              <w:rPr>
                <w:sz w:val="18"/>
              </w:rPr>
              <w:t>(1 044) ÷ 4 851</w:t>
            </w:r>
          </w:p>
        </w:tc>
        <w:tc>
          <w:tcPr>
            <w:tcW w:type="dxa" w:w="3960"/>
          </w:tcPr>
          <w:p>
            <w:r/>
            <w:r>
              <w:rPr>
                <w:sz w:val="18"/>
              </w:rPr>
              <w:t>Assets not earning</w:t>
            </w:r>
          </w:p>
        </w:tc>
      </w:tr>
    </w:tbl>
    <w:p>
      <w:pPr>
        <w:spacing w:before="120" w:after="40"/>
      </w:pPr>
      <w:r>
        <w:rPr>
          <w:b/>
          <w:color w:val="1F3D6B"/>
          <w:sz w:val="21"/>
        </w:rPr>
        <w:t>Application to Diamante</w:t>
      </w:r>
    </w:p>
    <w:p>
      <w:pPr>
        <w:pStyle w:val="ListBullet"/>
        <w:spacing w:after="60"/>
      </w:pPr>
      <w:r>
        <w:rPr>
          <w:b/>
          <w:sz w:val="20"/>
        </w:rPr>
        <w:t xml:space="preserve">The revenue fall is concentrated in Mine 2. </w:t>
      </w:r>
      <w:r>
        <w:rPr>
          <w:sz w:val="20"/>
        </w:rPr>
        <w:t>Mine 2 revenue dropped from R1 080m to R630m (−42%) versus Mine 1 R1 710m→R1 233m (−28%). Mine 2 is the weaker asset — exactly why the board is "evaluating the future of Mine 2" (Doc 3) and why R333m of the R963m impairment sits there. Any GROUP profit KPI will be dragged down by Mine 2, which most managers cannot control.</w:t>
      </w:r>
    </w:p>
    <w:p>
      <w:pPr>
        <w:pStyle w:val="ListBullet"/>
        <w:spacing w:after="60"/>
      </w:pPr>
      <w:r>
        <w:rPr>
          <w:b/>
          <w:sz w:val="20"/>
        </w:rPr>
        <w:t xml:space="preserve">Costs are stickier than revenue. </w:t>
      </w:r>
      <w:r>
        <w:rPr>
          <w:sz w:val="20"/>
        </w:rPr>
        <w:t>Revenue fell 33% but mining costs only fell 18% (R2 817m→R2 295m). Within that, depreciation stayed flat at R675m (committed, non-cash), so the savings came from raw materials (−R63m), employee expenses (−R90m, −11%) and royalties. An 11% cut to the employee line at deep-level mines is exactly the kind of saving a blunt "cost" KPI rewards while quietly raising safety and rehabilitation risk.</w:t>
      </w:r>
    </w:p>
    <w:p>
      <w:pPr>
        <w:pStyle w:val="ListBullet"/>
        <w:spacing w:after="60"/>
      </w:pPr>
      <w:r>
        <w:rPr>
          <w:b/>
          <w:sz w:val="20"/>
        </w:rPr>
        <w:t xml:space="preserve">The R1 044m loss flatters the position. </w:t>
      </w:r>
      <w:r>
        <w:rPr>
          <w:sz w:val="20"/>
        </w:rPr>
        <w:t>It includes a one-off R405m profit on selling the insolvent Botswana mine (net liabilities derecognised for Rnil consideration) and a R333m deferred-tax credit. Strip those out and the underlying trading loss is far larger (~R1.8bn). This is central to KPI 2: reported "profit" can be created by disposals and tax, not by mining better.</w:t>
      </w:r>
    </w:p>
    <w:p>
      <w:pPr>
        <w:pStyle w:val="ListBullet"/>
        <w:spacing w:after="60"/>
      </w:pPr>
      <w:r>
        <w:rPr>
          <w:b/>
          <w:sz w:val="20"/>
        </w:rPr>
        <w:t xml:space="preserve">Focus on adjusted EBITDA (+R207m). </w:t>
      </w:r>
      <w:r>
        <w:rPr>
          <w:sz w:val="20"/>
        </w:rPr>
        <w:t>Before non-cash impairments and depreciation the mines still throw off ~R207m of cash (down from R540m). This — not accounting profit — is what the bankers and a sensible incentive scheme should track while the company is loss-making.</w:t>
      </w:r>
    </w:p>
    <w:p>
      <w:pPr>
        <w:spacing w:before="120" w:after="40"/>
      </w:pPr>
      <w:r>
        <w:rPr>
          <w:b/>
          <w:color w:val="1F3D6B"/>
          <w:sz w:val="22"/>
        </w:rPr>
        <w:t>1.2 Liquidity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shd w:val="clear" w:fill="1f3d6b"/>
          </w:tcPr>
          <w:p>
            <w:r/>
            <w:r>
              <w:rPr>
                <w:b/>
                <w:color w:val="FFFFFF"/>
                <w:sz w:val="18"/>
              </w:rPr>
              <w:t>Ratio</w:t>
            </w:r>
          </w:p>
        </w:tc>
        <w:tc>
          <w:tcPr>
            <w:tcW w:type="dxa" w:w="936"/>
            <w:shd w:val="clear" w:fill="1f3d6b"/>
          </w:tcPr>
          <w:p>
            <w:r/>
            <w:r>
              <w:rPr>
                <w:b/>
                <w:color w:val="FFFFFF"/>
                <w:sz w:val="18"/>
              </w:rPr>
              <w:t>2026</w:t>
            </w:r>
          </w:p>
        </w:tc>
        <w:tc>
          <w:tcPr>
            <w:tcW w:type="dxa" w:w="936"/>
            <w:shd w:val="clear" w:fill="1f3d6b"/>
          </w:tcPr>
          <w:p>
            <w:r/>
            <w:r>
              <w:rPr>
                <w:b/>
                <w:color w:val="FFFFFF"/>
                <w:sz w:val="18"/>
              </w:rPr>
              <w:t>2025</w:t>
            </w:r>
          </w:p>
        </w:tc>
        <w:tc>
          <w:tcPr>
            <w:tcW w:type="dxa" w:w="2448"/>
            <w:shd w:val="clear" w:fill="1f3d6b"/>
          </w:tcPr>
          <w:p>
            <w:r/>
            <w:r>
              <w:rPr>
                <w:b/>
                <w:color w:val="FFFFFF"/>
                <w:sz w:val="18"/>
              </w:rPr>
              <w:t>Working</w:t>
            </w:r>
          </w:p>
        </w:tc>
        <w:tc>
          <w:tcPr>
            <w:tcW w:type="dxa" w:w="4536"/>
            <w:shd w:val="clear" w:fill="1f3d6b"/>
          </w:tcPr>
          <w:p>
            <w:r/>
            <w:r>
              <w:rPr>
                <w:b/>
                <w:color w:val="FFFFFF"/>
                <w:sz w:val="18"/>
              </w:rPr>
              <w:t>Read-across</w:t>
            </w:r>
          </w:p>
        </w:tc>
      </w:tr>
      <w:tr>
        <w:tc>
          <w:tcPr>
            <w:tcW w:type="dxa" w:w="2304"/>
          </w:tcPr>
          <w:p>
            <w:r/>
            <w:r>
              <w:rPr>
                <w:sz w:val="18"/>
              </w:rPr>
              <w:t>Current ratio</w:t>
            </w:r>
          </w:p>
        </w:tc>
        <w:tc>
          <w:tcPr>
            <w:tcW w:type="dxa" w:w="936"/>
          </w:tcPr>
          <w:p>
            <w:r/>
            <w:r>
              <w:rPr>
                <w:sz w:val="18"/>
              </w:rPr>
              <w:t>0.30</w:t>
            </w:r>
          </w:p>
        </w:tc>
        <w:tc>
          <w:tcPr>
            <w:tcW w:type="dxa" w:w="936"/>
          </w:tcPr>
          <w:p>
            <w:r/>
            <w:r>
              <w:rPr>
                <w:sz w:val="18"/>
              </w:rPr>
              <w:t>1.12</w:t>
            </w:r>
          </w:p>
        </w:tc>
        <w:tc>
          <w:tcPr>
            <w:tcW w:type="dxa" w:w="2448"/>
          </w:tcPr>
          <w:p>
            <w:r/>
            <w:r>
              <w:rPr>
                <w:sz w:val="18"/>
              </w:rPr>
              <w:t>1 017 ÷ 3 357</w:t>
            </w:r>
          </w:p>
        </w:tc>
        <w:tc>
          <w:tcPr>
            <w:tcW w:type="dxa" w:w="4536"/>
          </w:tcPr>
          <w:p>
            <w:r/>
            <w:r>
              <w:rPr>
                <w:sz w:val="18"/>
              </w:rPr>
              <w:t>Collapsed — cannot cover short-term liabilities</w:t>
            </w:r>
          </w:p>
        </w:tc>
      </w:tr>
      <w:tr>
        <w:tc>
          <w:tcPr>
            <w:tcW w:type="dxa" w:w="2304"/>
          </w:tcPr>
          <w:p>
            <w:r/>
            <w:r>
              <w:rPr>
                <w:sz w:val="18"/>
              </w:rPr>
              <w:t>Quick ratio</w:t>
            </w:r>
          </w:p>
        </w:tc>
        <w:tc>
          <w:tcPr>
            <w:tcW w:type="dxa" w:w="936"/>
          </w:tcPr>
          <w:p>
            <w:r/>
            <w:r>
              <w:rPr>
                <w:sz w:val="18"/>
              </w:rPr>
              <w:t>0.21</w:t>
            </w:r>
          </w:p>
        </w:tc>
        <w:tc>
          <w:tcPr>
            <w:tcW w:type="dxa" w:w="936"/>
          </w:tcPr>
          <w:p>
            <w:r/>
            <w:r>
              <w:rPr>
                <w:sz w:val="18"/>
              </w:rPr>
              <w:t>0.74</w:t>
            </w:r>
          </w:p>
        </w:tc>
        <w:tc>
          <w:tcPr>
            <w:tcW w:type="dxa" w:w="2448"/>
          </w:tcPr>
          <w:p>
            <w:r/>
            <w:r>
              <w:rPr>
                <w:sz w:val="18"/>
              </w:rPr>
              <w:t>(1 017−315) ÷ 3 357</w:t>
            </w:r>
          </w:p>
        </w:tc>
        <w:tc>
          <w:tcPr>
            <w:tcW w:type="dxa" w:w="4536"/>
          </w:tcPr>
          <w:p>
            <w:r/>
            <w:r>
              <w:rPr>
                <w:sz w:val="18"/>
              </w:rPr>
              <w:t>Very weak even excluding diamond stock</w:t>
            </w:r>
          </w:p>
        </w:tc>
      </w:tr>
      <w:tr>
        <w:tc>
          <w:tcPr>
            <w:tcW w:type="dxa" w:w="2304"/>
          </w:tcPr>
          <w:p>
            <w:r/>
            <w:r>
              <w:rPr>
                <w:sz w:val="18"/>
              </w:rPr>
              <w:t>Cash ratio</w:t>
            </w:r>
          </w:p>
        </w:tc>
        <w:tc>
          <w:tcPr>
            <w:tcW w:type="dxa" w:w="936"/>
          </w:tcPr>
          <w:p>
            <w:r/>
            <w:r>
              <w:rPr>
                <w:sz w:val="18"/>
              </w:rPr>
              <w:t>0.10</w:t>
            </w:r>
          </w:p>
        </w:tc>
        <w:tc>
          <w:tcPr>
            <w:tcW w:type="dxa" w:w="936"/>
          </w:tcPr>
          <w:p>
            <w:r/>
            <w:r>
              <w:rPr>
                <w:sz w:val="18"/>
              </w:rPr>
              <w:t>0.22</w:t>
            </w:r>
          </w:p>
        </w:tc>
        <w:tc>
          <w:tcPr>
            <w:tcW w:type="dxa" w:w="2448"/>
          </w:tcPr>
          <w:p>
            <w:r/>
            <w:r>
              <w:rPr>
                <w:sz w:val="18"/>
              </w:rPr>
              <w:t>333 ÷ 3 357</w:t>
            </w:r>
          </w:p>
        </w:tc>
        <w:tc>
          <w:tcPr>
            <w:tcW w:type="dxa" w:w="4536"/>
          </w:tcPr>
          <w:p>
            <w:r/>
            <w:r>
              <w:rPr>
                <w:sz w:val="18"/>
              </w:rPr>
              <w:t>~10c cash per R1 of current liabilities</w:t>
            </w:r>
          </w:p>
        </w:tc>
      </w:tr>
    </w:tbl>
    <w:p>
      <w:pPr>
        <w:spacing w:before="120" w:after="40"/>
      </w:pPr>
      <w:r>
        <w:rPr>
          <w:b/>
          <w:color w:val="1F3D6B"/>
          <w:sz w:val="21"/>
        </w:rPr>
        <w:t>Application to Diamante</w:t>
      </w:r>
    </w:p>
    <w:p>
      <w:pPr>
        <w:pStyle w:val="ListBullet"/>
        <w:spacing w:after="60"/>
      </w:pPr>
      <w:r>
        <w:rPr>
          <w:b/>
          <w:sz w:val="20"/>
        </w:rPr>
        <w:t xml:space="preserve">It is a refinancing signal, not a trading signal. </w:t>
      </w:r>
      <w:r>
        <w:rPr>
          <w:sz w:val="20"/>
        </w:rPr>
        <w:t>The ratio collapsed because R2 214m of loans moved from non-current to current (now R2 925m current). Under IAS 1, debt maturing in FY2027 that was not unconditionally refinanced at 30 June 2026 must be shown as current. So the 0.30 is really flashing "going concern / refinance me", and R2 925m is 87% of all current liabilities.</w:t>
      </w:r>
    </w:p>
    <w:p>
      <w:pPr>
        <w:pStyle w:val="ListBullet"/>
        <w:spacing w:after="60"/>
      </w:pPr>
      <w:r>
        <w:rPr>
          <w:b/>
          <w:sz w:val="20"/>
        </w:rPr>
        <w:t xml:space="preserve">Diamante cannot self-fund the repayment. </w:t>
      </w:r>
      <w:r>
        <w:rPr>
          <w:sz w:val="20"/>
        </w:rPr>
        <w:t>Cash of R333m against R3 357m current liabilities means survival depends on the bank extending to 2030 — which is contingent on the rights issue AND on Shareholders A &amp; B revising their loans. Every bonus/KPI decision must be read against the fact that the company is simultaneously asking shareholders for fresh cash.</w:t>
      </w:r>
    </w:p>
    <w:p>
      <w:pPr>
        <w:spacing w:before="120" w:after="40"/>
      </w:pPr>
      <w:r>
        <w:rPr>
          <w:b/>
          <w:color w:val="1F3D6B"/>
          <w:sz w:val="22"/>
        </w:rPr>
        <w:t>1.3 Solvency / gearing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448"/>
            <w:shd w:val="clear" w:fill="1f3d6b"/>
          </w:tcPr>
          <w:p>
            <w:r/>
            <w:r>
              <w:rPr>
                <w:b/>
                <w:color w:val="FFFFFF"/>
                <w:sz w:val="18"/>
              </w:rPr>
              <w:t>Ratio</w:t>
            </w:r>
          </w:p>
        </w:tc>
        <w:tc>
          <w:tcPr>
            <w:tcW w:type="dxa" w:w="936"/>
            <w:shd w:val="clear" w:fill="1f3d6b"/>
          </w:tcPr>
          <w:p>
            <w:r/>
            <w:r>
              <w:rPr>
                <w:b/>
                <w:color w:val="FFFFFF"/>
                <w:sz w:val="18"/>
              </w:rPr>
              <w:t>2026</w:t>
            </w:r>
          </w:p>
        </w:tc>
        <w:tc>
          <w:tcPr>
            <w:tcW w:type="dxa" w:w="936"/>
            <w:shd w:val="clear" w:fill="1f3d6b"/>
          </w:tcPr>
          <w:p>
            <w:r/>
            <w:r>
              <w:rPr>
                <w:b/>
                <w:color w:val="FFFFFF"/>
                <w:sz w:val="18"/>
              </w:rPr>
              <w:t>2025</w:t>
            </w:r>
          </w:p>
        </w:tc>
        <w:tc>
          <w:tcPr>
            <w:tcW w:type="dxa" w:w="2160"/>
            <w:shd w:val="clear" w:fill="1f3d6b"/>
          </w:tcPr>
          <w:p>
            <w:r/>
            <w:r>
              <w:rPr>
                <w:b/>
                <w:color w:val="FFFFFF"/>
                <w:sz w:val="18"/>
              </w:rPr>
              <w:t>Working</w:t>
            </w:r>
          </w:p>
        </w:tc>
        <w:tc>
          <w:tcPr>
            <w:tcW w:type="dxa" w:w="4608"/>
            <w:shd w:val="clear" w:fill="1f3d6b"/>
          </w:tcPr>
          <w:p>
            <w:r/>
            <w:r>
              <w:rPr>
                <w:b/>
                <w:color w:val="FFFFFF"/>
                <w:sz w:val="18"/>
              </w:rPr>
              <w:t>Read-across</w:t>
            </w:r>
          </w:p>
        </w:tc>
      </w:tr>
      <w:tr>
        <w:tc>
          <w:tcPr>
            <w:tcW w:type="dxa" w:w="2448"/>
          </w:tcPr>
          <w:p>
            <w:r/>
            <w:r>
              <w:rPr>
                <w:sz w:val="18"/>
              </w:rPr>
              <w:t>Debt : equity</w:t>
            </w:r>
          </w:p>
        </w:tc>
        <w:tc>
          <w:tcPr>
            <w:tcW w:type="dxa" w:w="936"/>
          </w:tcPr>
          <w:p>
            <w:r/>
            <w:r>
              <w:rPr>
                <w:sz w:val="18"/>
              </w:rPr>
              <w:t>3.28</w:t>
            </w:r>
          </w:p>
        </w:tc>
        <w:tc>
          <w:tcPr>
            <w:tcW w:type="dxa" w:w="936"/>
          </w:tcPr>
          <w:p>
            <w:r/>
            <w:r>
              <w:rPr>
                <w:sz w:val="18"/>
              </w:rPr>
              <w:t>1.27</w:t>
            </w:r>
          </w:p>
        </w:tc>
        <w:tc>
          <w:tcPr>
            <w:tcW w:type="dxa" w:w="2160"/>
          </w:tcPr>
          <w:p>
            <w:r/>
            <w:r>
              <w:rPr>
                <w:sz w:val="18"/>
              </w:rPr>
              <w:t>2 925 ÷ 891</w:t>
            </w:r>
          </w:p>
        </w:tc>
        <w:tc>
          <w:tcPr>
            <w:tcW w:type="dxa" w:w="4608"/>
          </w:tcPr>
          <w:p>
            <w:r/>
            <w:r>
              <w:rPr>
                <w:sz w:val="18"/>
              </w:rPr>
              <w:t>Highly geared and rising fast</w:t>
            </w:r>
          </w:p>
        </w:tc>
      </w:tr>
      <w:tr>
        <w:tc>
          <w:tcPr>
            <w:tcW w:type="dxa" w:w="2448"/>
          </w:tcPr>
          <w:p>
            <w:r/>
            <w:r>
              <w:rPr>
                <w:sz w:val="18"/>
              </w:rPr>
              <w:t>Total liabilities : equity</w:t>
            </w:r>
          </w:p>
        </w:tc>
        <w:tc>
          <w:tcPr>
            <w:tcW w:type="dxa" w:w="936"/>
          </w:tcPr>
          <w:p>
            <w:r/>
            <w:r>
              <w:rPr>
                <w:sz w:val="18"/>
              </w:rPr>
              <w:t>4.45</w:t>
            </w:r>
          </w:p>
        </w:tc>
        <w:tc>
          <w:tcPr>
            <w:tcW w:type="dxa" w:w="936"/>
          </w:tcPr>
          <w:p>
            <w:r/>
            <w:r>
              <w:rPr>
                <w:sz w:val="18"/>
              </w:rPr>
              <w:t>2.55</w:t>
            </w:r>
          </w:p>
        </w:tc>
        <w:tc>
          <w:tcPr>
            <w:tcW w:type="dxa" w:w="2160"/>
          </w:tcPr>
          <w:p>
            <w:r/>
            <w:r>
              <w:rPr>
                <w:sz w:val="18"/>
              </w:rPr>
              <w:t>3 960 ÷ 891</w:t>
            </w:r>
          </w:p>
        </w:tc>
        <w:tc>
          <w:tcPr>
            <w:tcW w:type="dxa" w:w="4608"/>
          </w:tcPr>
          <w:p>
            <w:r/>
            <w:r>
              <w:rPr>
                <w:sz w:val="18"/>
              </w:rPr>
              <w:t>Balance sheet increasingly creditor-funded</w:t>
            </w:r>
          </w:p>
        </w:tc>
      </w:tr>
      <w:tr>
        <w:tc>
          <w:tcPr>
            <w:tcW w:type="dxa" w:w="2448"/>
          </w:tcPr>
          <w:p>
            <w:r/>
            <w:r>
              <w:rPr>
                <w:sz w:val="18"/>
              </w:rPr>
              <w:t>Equity ratio</w:t>
            </w:r>
          </w:p>
        </w:tc>
        <w:tc>
          <w:tcPr>
            <w:tcW w:type="dxa" w:w="936"/>
          </w:tcPr>
          <w:p>
            <w:r/>
            <w:r>
              <w:rPr>
                <w:sz w:val="18"/>
              </w:rPr>
              <w:t>18.4%</w:t>
            </w:r>
          </w:p>
        </w:tc>
        <w:tc>
          <w:tcPr>
            <w:tcW w:type="dxa" w:w="936"/>
          </w:tcPr>
          <w:p>
            <w:r/>
            <w:r>
              <w:rPr>
                <w:sz w:val="18"/>
              </w:rPr>
              <w:t>28.2%</w:t>
            </w:r>
          </w:p>
        </w:tc>
        <w:tc>
          <w:tcPr>
            <w:tcW w:type="dxa" w:w="2160"/>
          </w:tcPr>
          <w:p>
            <w:r/>
            <w:r>
              <w:rPr>
                <w:sz w:val="18"/>
              </w:rPr>
              <w:t>891 ÷ 4 851</w:t>
            </w:r>
          </w:p>
        </w:tc>
        <w:tc>
          <w:tcPr>
            <w:tcW w:type="dxa" w:w="4608"/>
          </w:tcPr>
          <w:p>
            <w:r/>
            <w:r>
              <w:rPr>
                <w:sz w:val="18"/>
              </w:rPr>
              <w:t>Equity buffer almost halved</w:t>
            </w:r>
          </w:p>
        </w:tc>
      </w:tr>
      <w:tr>
        <w:tc>
          <w:tcPr>
            <w:tcW w:type="dxa" w:w="2448"/>
          </w:tcPr>
          <w:p>
            <w:r/>
            <w:r>
              <w:rPr>
                <w:sz w:val="18"/>
              </w:rPr>
              <w:t>Net debt</w:t>
            </w:r>
          </w:p>
        </w:tc>
        <w:tc>
          <w:tcPr>
            <w:tcW w:type="dxa" w:w="936"/>
          </w:tcPr>
          <w:p>
            <w:r/>
            <w:r>
              <w:rPr>
                <w:sz w:val="18"/>
              </w:rPr>
              <w:t>2 592</w:t>
            </w:r>
          </w:p>
        </w:tc>
        <w:tc>
          <w:tcPr>
            <w:tcW w:type="dxa" w:w="936"/>
          </w:tcPr>
          <w:p>
            <w:r/>
            <w:r>
              <w:rPr>
                <w:sz w:val="18"/>
              </w:rPr>
              <w:t>2 178</w:t>
            </w:r>
          </w:p>
        </w:tc>
        <w:tc>
          <w:tcPr>
            <w:tcW w:type="dxa" w:w="2160"/>
          </w:tcPr>
          <w:p>
            <w:r/>
            <w:r>
              <w:rPr>
                <w:sz w:val="18"/>
              </w:rPr>
              <w:t>2 925 − 333</w:t>
            </w:r>
          </w:p>
        </w:tc>
        <w:tc>
          <w:tcPr>
            <w:tcW w:type="dxa" w:w="4608"/>
          </w:tcPr>
          <w:p>
            <w:r/>
            <w:r>
              <w:rPr>
                <w:sz w:val="18"/>
              </w:rPr>
              <w:t>Rising net debt vs falling earnings</w:t>
            </w:r>
          </w:p>
        </w:tc>
      </w:tr>
      <w:tr>
        <w:tc>
          <w:tcPr>
            <w:tcW w:type="dxa" w:w="2448"/>
          </w:tcPr>
          <w:p>
            <w:r/>
            <w:r>
              <w:rPr>
                <w:sz w:val="18"/>
              </w:rPr>
              <w:t>Interest cover</w:t>
            </w:r>
          </w:p>
        </w:tc>
        <w:tc>
          <w:tcPr>
            <w:tcW w:type="dxa" w:w="936"/>
          </w:tcPr>
          <w:p>
            <w:r/>
            <w:r>
              <w:rPr>
                <w:sz w:val="18"/>
              </w:rPr>
              <w:t>none</w:t>
            </w:r>
          </w:p>
        </w:tc>
        <w:tc>
          <w:tcPr>
            <w:tcW w:type="dxa" w:w="936"/>
          </w:tcPr>
          <w:p>
            <w:r/>
            <w:r>
              <w:rPr>
                <w:sz w:val="18"/>
              </w:rPr>
              <w:t>none</w:t>
            </w:r>
          </w:p>
        </w:tc>
        <w:tc>
          <w:tcPr>
            <w:tcW w:type="dxa" w:w="2160"/>
          </w:tcPr>
          <w:p>
            <w:r/>
            <w:r>
              <w:rPr>
                <w:sz w:val="18"/>
              </w:rPr>
              <w:t>operating LOSS</w:t>
            </w:r>
          </w:p>
        </w:tc>
        <w:tc>
          <w:tcPr>
            <w:tcW w:type="dxa" w:w="4608"/>
          </w:tcPr>
          <w:p>
            <w:r/>
            <w:r>
              <w:rPr>
                <w:sz w:val="18"/>
              </w:rPr>
              <w:t>Cannot cover finance costs from operations</w:t>
            </w:r>
          </w:p>
        </w:tc>
      </w:tr>
    </w:tbl>
    <w:p>
      <w:pPr>
        <w:spacing w:before="120" w:after="40"/>
      </w:pPr>
      <w:r>
        <w:rPr>
          <w:b/>
          <w:color w:val="1F3D6B"/>
          <w:sz w:val="21"/>
        </w:rPr>
        <w:t>Application to Diamante</w:t>
      </w:r>
    </w:p>
    <w:p>
      <w:pPr>
        <w:pStyle w:val="ListBullet"/>
        <w:spacing w:after="60"/>
      </w:pPr>
      <w:r>
        <w:rPr>
          <w:b/>
          <w:sz w:val="20"/>
        </w:rPr>
        <w:t xml:space="preserve">Gearing doubled mainly because equity almost halved. </w:t>
      </w:r>
      <w:r>
        <w:rPr>
          <w:sz w:val="20"/>
        </w:rPr>
        <w:t>The R1 044m loss took accumulated losses from R351m to R1 395m, shrinking equity to R891m while net debt rose to R2 592m. The rights issue is meant to rebuild equity — so rewarding management in NEW shares (dilutive) at the same time as asking existing shareholders to inject equity is an obvious fairness/optics issue (see section 4).</w:t>
      </w:r>
    </w:p>
    <w:p>
      <w:pPr>
        <w:pStyle w:val="ListBullet"/>
        <w:spacing w:after="60"/>
      </w:pPr>
      <w:r>
        <w:rPr>
          <w:b/>
          <w:sz w:val="20"/>
        </w:rPr>
        <w:t xml:space="preserve">No earnings cover for interest. </w:t>
      </w:r>
      <w:r>
        <w:rPr>
          <w:sz w:val="20"/>
        </w:rPr>
        <w:t>Finance costs of R378m are being met from cash and refinancing, not from profits (there were none). A responsible scheme should reward a return to positive operating cash flow before it rewards accounting "profit".</w:t>
      </w:r>
    </w:p>
    <w:p>
      <w:pPr>
        <w:spacing w:before="120" w:after="40"/>
      </w:pPr>
      <w:r>
        <w:rPr>
          <w:b/>
          <w:color w:val="1F3D6B"/>
          <w:sz w:val="22"/>
        </w:rPr>
        <w:t>1.4 Efficiency / working capital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val="clear" w:fill="1f3d6b"/>
          </w:tcPr>
          <w:p>
            <w:r/>
            <w:r>
              <w:rPr>
                <w:b/>
                <w:color w:val="FFFFFF"/>
                <w:sz w:val="18"/>
              </w:rPr>
              <w:t>Ratio</w:t>
            </w:r>
          </w:p>
        </w:tc>
        <w:tc>
          <w:tcPr>
            <w:tcW w:type="dxa" w:w="1008"/>
            <w:shd w:val="clear" w:fill="1f3d6b"/>
          </w:tcPr>
          <w:p>
            <w:r/>
            <w:r>
              <w:rPr>
                <w:b/>
                <w:color w:val="FFFFFF"/>
                <w:sz w:val="18"/>
              </w:rPr>
              <w:t>2026</w:t>
            </w:r>
          </w:p>
        </w:tc>
        <w:tc>
          <w:tcPr>
            <w:tcW w:type="dxa" w:w="1008"/>
            <w:shd w:val="clear" w:fill="1f3d6b"/>
          </w:tcPr>
          <w:p>
            <w:r/>
            <w:r>
              <w:rPr>
                <w:b/>
                <w:color w:val="FFFFFF"/>
                <w:sz w:val="18"/>
              </w:rPr>
              <w:t>2025</w:t>
            </w:r>
          </w:p>
        </w:tc>
        <w:tc>
          <w:tcPr>
            <w:tcW w:type="dxa" w:w="6264"/>
            <w:shd w:val="clear" w:fill="1f3d6b"/>
          </w:tcPr>
          <w:p>
            <w:r/>
            <w:r>
              <w:rPr>
                <w:b/>
                <w:color w:val="FFFFFF"/>
                <w:sz w:val="18"/>
              </w:rPr>
              <w:t>Application to Diamante</w:t>
            </w:r>
          </w:p>
        </w:tc>
      </w:tr>
      <w:tr>
        <w:tc>
          <w:tcPr>
            <w:tcW w:type="dxa" w:w="2160"/>
          </w:tcPr>
          <w:p>
            <w:r/>
            <w:r>
              <w:rPr>
                <w:sz w:val="18"/>
              </w:rPr>
              <w:t>Receivables days</w:t>
            </w:r>
          </w:p>
        </w:tc>
        <w:tc>
          <w:tcPr>
            <w:tcW w:type="dxa" w:w="1008"/>
          </w:tcPr>
          <w:p>
            <w:r/>
            <w:r>
              <w:rPr>
                <w:sz w:val="18"/>
              </w:rPr>
              <w:t>~39</w:t>
            </w:r>
          </w:p>
        </w:tc>
        <w:tc>
          <w:tcPr>
            <w:tcW w:type="dxa" w:w="1008"/>
          </w:tcPr>
          <w:p>
            <w:r/>
            <w:r>
              <w:rPr>
                <w:sz w:val="18"/>
              </w:rPr>
              <w:t>~62</w:t>
            </w:r>
          </w:p>
        </w:tc>
        <w:tc>
          <w:tcPr>
            <w:tcW w:type="dxa" w:w="6264"/>
          </w:tcPr>
          <w:p>
            <w:r/>
            <w:r>
              <w:rPr>
                <w:sz w:val="18"/>
              </w:rPr>
              <w:t>Looks better, but partly because revenue is lower and tender sales settle on award (control passes at award, buyers pre-vetted) — timing, not a real collections win</w:t>
            </w:r>
          </w:p>
        </w:tc>
      </w:tr>
      <w:tr>
        <w:tc>
          <w:tcPr>
            <w:tcW w:type="dxa" w:w="2160"/>
          </w:tcPr>
          <w:p>
            <w:r/>
            <w:r>
              <w:rPr>
                <w:sz w:val="18"/>
              </w:rPr>
              <w:t>Inventory days</w:t>
            </w:r>
          </w:p>
        </w:tc>
        <w:tc>
          <w:tcPr>
            <w:tcW w:type="dxa" w:w="1008"/>
          </w:tcPr>
          <w:p>
            <w:r/>
            <w:r>
              <w:rPr>
                <w:sz w:val="18"/>
              </w:rPr>
              <w:t>~50</w:t>
            </w:r>
          </w:p>
        </w:tc>
        <w:tc>
          <w:tcPr>
            <w:tcW w:type="dxa" w:w="1008"/>
          </w:tcPr>
          <w:p>
            <w:r/>
            <w:r>
              <w:rPr>
                <w:sz w:val="18"/>
              </w:rPr>
              <w:t>~59</w:t>
            </w:r>
          </w:p>
        </w:tc>
        <w:tc>
          <w:tcPr>
            <w:tcW w:type="dxa" w:w="6264"/>
          </w:tcPr>
          <w:p>
            <w:r/>
            <w:r>
              <w:rPr>
                <w:sz w:val="18"/>
              </w:rPr>
              <w:t>Inventory fell R459m→R315m; "changes in inventory" swung from a R351m build (2025) to a R(9)m release (2026) — they sold down stock. Doing more of this to hit a KPI, in a weak market, fights the strategy</w:t>
            </w:r>
          </w:p>
        </w:tc>
      </w:tr>
      <w:tr>
        <w:tc>
          <w:tcPr>
            <w:tcW w:type="dxa" w:w="2160"/>
          </w:tcPr>
          <w:p>
            <w:r/>
            <w:r>
              <w:rPr>
                <w:sz w:val="18"/>
              </w:rPr>
              <w:t>Payables days</w:t>
            </w:r>
          </w:p>
        </w:tc>
        <w:tc>
          <w:tcPr>
            <w:tcW w:type="dxa" w:w="1008"/>
          </w:tcPr>
          <w:p>
            <w:r/>
            <w:r>
              <w:rPr>
                <w:sz w:val="18"/>
              </w:rPr>
              <w:t>~47</w:t>
            </w:r>
          </w:p>
        </w:tc>
        <w:tc>
          <w:tcPr>
            <w:tcW w:type="dxa" w:w="1008"/>
          </w:tcPr>
          <w:p>
            <w:r/>
            <w:r>
              <w:rPr>
                <w:sz w:val="18"/>
              </w:rPr>
              <w:t>~91</w:t>
            </w:r>
          </w:p>
        </w:tc>
        <w:tc>
          <w:tcPr>
            <w:tcW w:type="dxa" w:w="6264"/>
          </w:tcPr>
          <w:p>
            <w:r/>
            <w:r>
              <w:rPr>
                <w:sz w:val="18"/>
              </w:rPr>
              <w:t>Paying suppliers roughly twice as fast while cash is scarce — a further drain the CA should question</w:t>
            </w:r>
          </w:p>
        </w:tc>
      </w:tr>
      <w:tr>
        <w:tc>
          <w:tcPr>
            <w:tcW w:type="dxa" w:w="2160"/>
          </w:tcPr>
          <w:p>
            <w:r/>
            <w:r>
              <w:rPr>
                <w:sz w:val="18"/>
              </w:rPr>
              <w:t>Asset turnover</w:t>
            </w:r>
          </w:p>
        </w:tc>
        <w:tc>
          <w:tcPr>
            <w:tcW w:type="dxa" w:w="1008"/>
          </w:tcPr>
          <w:p>
            <w:r/>
            <w:r>
              <w:rPr>
                <w:sz w:val="18"/>
              </w:rPr>
              <w:t>0.38</w:t>
            </w:r>
          </w:p>
        </w:tc>
        <w:tc>
          <w:tcPr>
            <w:tcW w:type="dxa" w:w="1008"/>
          </w:tcPr>
          <w:p>
            <w:r/>
            <w:r>
              <w:rPr>
                <w:sz w:val="18"/>
              </w:rPr>
              <w:t>0.41</w:t>
            </w:r>
          </w:p>
        </w:tc>
        <w:tc>
          <w:tcPr>
            <w:tcW w:type="dxa" w:w="6264"/>
          </w:tcPr>
          <w:p>
            <w:r/>
            <w:r>
              <w:rPr>
                <w:sz w:val="18"/>
              </w:rPr>
              <w:t>Assets sweating slightly less as revenue falls</w:t>
            </w:r>
          </w:p>
        </w:tc>
      </w:tr>
    </w:tbl>
    <w:p>
      <w:pPr>
        <w:spacing w:after="80"/>
      </w:pPr>
      <w:r>
        <w:rPr>
          <w:b/>
          <w:i w:val="0"/>
          <w:sz w:val="19"/>
        </w:rPr>
        <w:t>Bottom line: a loss-making, highly-geared business in a liquidity crisis, wholly dependent on the refinancing to stay a going concern. That is the lens for judging the KPIs below.</w:t>
      </w:r>
    </w:p>
    <w:p>
      <w:pPr>
        <w:spacing w:before="240" w:after="60"/>
        <w:pBdr>
          <w:bottom w:val="single" w:sz="6" w:space="2" w:color="808080"/>
        </w:pBdr>
      </w:pPr>
      <w:r>
        <w:rPr>
          <w:b/>
          <w:color w:val="1F3D6B"/>
          <w:sz w:val="26"/>
        </w:rPr>
        <w:t>2. Critical evaluation of Diamante’s proposed KPIs</w:t>
      </w:r>
    </w:p>
    <w:p>
      <w:pPr>
        <w:spacing w:after="80"/>
      </w:pPr>
      <w:r>
        <w:rPr>
          <w:b w:val="0"/>
          <w:i/>
          <w:sz w:val="19"/>
        </w:rPr>
        <w:t>The scheme grants management shares worth 3–5× annual salary, the number set at the vesting date on the share price then, vesting annually over three years if the KPIs are met. Summary table first, then a detailed, applied critique of each KPI.</w:t>
      </w:r>
    </w:p>
    <w:tbl>
      <w:tblPr>
        <w:tblStyle w:val="TableGrid"/>
        <w:tblW w:type="auto" w:w="0"/>
        <w:jc w:val="center"/>
        <w:tblLook w:firstColumn="1" w:firstRow="1" w:lastColumn="0" w:lastRow="0" w:noHBand="0" w:noVBand="1" w:val="04A0"/>
      </w:tblPr>
      <w:tblGrid>
        <w:gridCol w:w="3408"/>
        <w:gridCol w:w="3408"/>
        <w:gridCol w:w="3408"/>
      </w:tblGrid>
      <w:tr>
        <w:tc>
          <w:tcPr>
            <w:tcW w:type="dxa" w:w="2736"/>
            <w:shd w:val="clear" w:fill="1f3d6b"/>
          </w:tcPr>
          <w:p>
            <w:r/>
            <w:r>
              <w:rPr>
                <w:b/>
                <w:color w:val="FFFFFF"/>
                <w:sz w:val="18"/>
              </w:rPr>
              <w:t>KPI</w:t>
            </w:r>
          </w:p>
        </w:tc>
        <w:tc>
          <w:tcPr>
            <w:tcW w:type="dxa" w:w="2304"/>
            <w:shd w:val="clear" w:fill="1f3d6b"/>
          </w:tcPr>
          <w:p>
            <w:r/>
            <w:r>
              <w:rPr>
                <w:b/>
                <w:color w:val="FFFFFF"/>
                <w:sz w:val="18"/>
              </w:rPr>
              <w:t>Intended purpose</w:t>
            </w:r>
          </w:p>
        </w:tc>
        <w:tc>
          <w:tcPr>
            <w:tcW w:type="dxa" w:w="5760"/>
            <w:shd w:val="clear" w:fill="1f3d6b"/>
          </w:tcPr>
          <w:p>
            <w:r/>
            <w:r>
              <w:rPr>
                <w:b/>
                <w:color w:val="FFFFFF"/>
                <w:sz w:val="18"/>
              </w:rPr>
              <w:t>Headline critique</w:t>
            </w:r>
          </w:p>
        </w:tc>
      </w:tr>
      <w:tr>
        <w:tc>
          <w:tcPr>
            <w:tcW w:type="dxa" w:w="2736"/>
          </w:tcPr>
          <w:p>
            <w:r/>
            <w:r>
              <w:rPr>
                <w:sz w:val="18"/>
              </w:rPr>
              <w:t>1. Mining cost growth (excl. impairments) below inflation</w:t>
            </w:r>
          </w:p>
        </w:tc>
        <w:tc>
          <w:tcPr>
            <w:tcW w:type="dxa" w:w="2304"/>
          </w:tcPr>
          <w:p>
            <w:r/>
            <w:r>
              <w:rPr>
                <w:sz w:val="18"/>
              </w:rPr>
              <w:t>Cost control</w:t>
            </w:r>
          </w:p>
        </w:tc>
        <w:tc>
          <w:tcPr>
            <w:tcW w:type="dxa" w:w="5760"/>
          </w:tcPr>
          <w:p>
            <w:r/>
            <w:r>
              <w:rPr>
                <w:sz w:val="18"/>
              </w:rPr>
              <w:t>Controllable &amp; impairment-adjusted, but a low bar already met — pays out in a loss year; blunt "cost" measure invites harmful cuts</w:t>
            </w:r>
          </w:p>
        </w:tc>
      </w:tr>
      <w:tr>
        <w:tc>
          <w:tcPr>
            <w:tcW w:type="dxa" w:w="2736"/>
          </w:tcPr>
          <w:p>
            <w:r/>
            <w:r>
              <w:rPr>
                <w:sz w:val="18"/>
              </w:rPr>
              <w:t>2. Net profit growth ≥ 5%</w:t>
            </w:r>
          </w:p>
        </w:tc>
        <w:tc>
          <w:tcPr>
            <w:tcW w:type="dxa" w:w="2304"/>
          </w:tcPr>
          <w:p>
            <w:r/>
            <w:r>
              <w:rPr>
                <w:sz w:val="18"/>
              </w:rPr>
              <w:t>Shareholders benefit</w:t>
            </w:r>
          </w:p>
        </w:tc>
        <w:tc>
          <w:tcPr>
            <w:tcW w:type="dxa" w:w="5760"/>
          </w:tcPr>
          <w:p>
            <w:r/>
            <w:r>
              <w:rPr>
                <w:sz w:val="18"/>
              </w:rPr>
              <w:t>Meaningless on a R1 044m LOSS; uncontrollable; invites profit "manufactured" by disposals/impairment choices</w:t>
            </w:r>
          </w:p>
        </w:tc>
      </w:tr>
      <w:tr>
        <w:tc>
          <w:tcPr>
            <w:tcW w:type="dxa" w:w="2736"/>
          </w:tcPr>
          <w:p>
            <w:r/>
            <w:r>
              <w:rPr>
                <w:sz w:val="18"/>
              </w:rPr>
              <w:t>3. High-value diamonds as % of total mined</w:t>
            </w:r>
          </w:p>
        </w:tc>
        <w:tc>
          <w:tcPr>
            <w:tcW w:type="dxa" w:w="2304"/>
          </w:tcPr>
          <w:p>
            <w:r/>
            <w:r>
              <w:rPr>
                <w:sz w:val="18"/>
              </w:rPr>
              <w:t>Operational excellence / value-led</w:t>
            </w:r>
          </w:p>
        </w:tc>
        <w:tc>
          <w:tcPr>
            <w:tcW w:type="dxa" w:w="5760"/>
          </w:tcPr>
          <w:p>
            <w:r/>
            <w:r>
              <w:rPr>
                <w:sz w:val="18"/>
              </w:rPr>
              <w:t>Aligned to strategy but geology-driven and manipulable; can encourage sterilising lower-grade ore</w:t>
            </w:r>
          </w:p>
        </w:tc>
      </w:tr>
      <w:tr>
        <w:tc>
          <w:tcPr>
            <w:tcW w:type="dxa" w:w="2736"/>
          </w:tcPr>
          <w:p>
            <w:r/>
            <w:r>
              <w:rPr>
                <w:sz w:val="18"/>
              </w:rPr>
              <w:t>4. Reduction in inventories</w:t>
            </w:r>
          </w:p>
        </w:tc>
        <w:tc>
          <w:tcPr>
            <w:tcW w:type="dxa" w:w="2304"/>
          </w:tcPr>
          <w:p>
            <w:r/>
            <w:r>
              <w:rPr>
                <w:sz w:val="18"/>
              </w:rPr>
              <w:t>Free up cash</w:t>
            </w:r>
          </w:p>
        </w:tc>
        <w:tc>
          <w:tcPr>
            <w:tcW w:type="dxa" w:w="5760"/>
          </w:tcPr>
          <w:p>
            <w:r/>
            <w:r>
              <w:rPr>
                <w:sz w:val="18"/>
              </w:rPr>
              <w:t>Helps liquidity but fights the "defer tenders when prices are weak" strategy; easily met by write-downs / mining less</w:t>
            </w:r>
          </w:p>
        </w:tc>
      </w:tr>
      <w:tr>
        <w:tc>
          <w:tcPr>
            <w:tcW w:type="dxa" w:w="2736"/>
          </w:tcPr>
          <w:p>
            <w:r/>
            <w:r>
              <w:rPr>
                <w:sz w:val="18"/>
              </w:rPr>
              <w:t>5. EY Excellence in integrated reporting rating</w:t>
            </w:r>
          </w:p>
        </w:tc>
        <w:tc>
          <w:tcPr>
            <w:tcW w:type="dxa" w:w="2304"/>
          </w:tcPr>
          <w:p>
            <w:r/>
            <w:r>
              <w:rPr>
                <w:sz w:val="18"/>
              </w:rPr>
              <w:t>ESG excellence</w:t>
            </w:r>
          </w:p>
        </w:tc>
        <w:tc>
          <w:tcPr>
            <w:tcW w:type="dxa" w:w="5760"/>
          </w:tcPr>
          <w:p>
            <w:r/>
            <w:r>
              <w:rPr>
                <w:sz w:val="18"/>
              </w:rPr>
              <w:t>Rewards report quality, not real ESG (greenwashing); external, subjective, largely uncontrollable</w:t>
            </w:r>
          </w:p>
        </w:tc>
      </w:tr>
    </w:tbl>
    <w:p>
      <w:pPr>
        <w:spacing w:before="120" w:after="40"/>
      </w:pPr>
      <w:r>
        <w:rPr>
          <w:b/>
          <w:color w:val="1F3D6B"/>
          <w:sz w:val="22"/>
        </w:rPr>
        <w:t>KPI 1 — Mining cost growth (excl. impairments) below inflation</w:t>
      </w:r>
    </w:p>
    <w:p>
      <w:pPr>
        <w:pStyle w:val="ListBullet"/>
        <w:spacing w:after="60"/>
      </w:pPr>
      <w:r>
        <w:rPr>
          <w:b/>
          <w:sz w:val="20"/>
        </w:rPr>
        <w:t xml:space="preserve">Already met in a loss year. </w:t>
      </w:r>
      <w:r>
        <w:rPr>
          <w:sz w:val="20"/>
        </w:rPr>
        <w:t>Mining costs fell 18.5% (R2 817m→R2 295m) — far below any inflation rate — so this KPI would PAY OUT in the very year Diamante lost R1 044m. That mismatch alone shows it is mis-calibrated.</w:t>
      </w:r>
    </w:p>
    <w:p>
      <w:pPr>
        <w:pStyle w:val="ListBullet"/>
        <w:spacing w:after="60"/>
      </w:pPr>
      <w:r>
        <w:rPr>
          <w:b/>
          <w:sz w:val="20"/>
        </w:rPr>
        <w:t xml:space="preserve">How management could "hit" it destructively. </w:t>
      </w:r>
      <w:r>
        <w:rPr>
          <w:sz w:val="20"/>
        </w:rPr>
        <w:t>They could defer the two Mine 1 development blocks and stripping (Doc 4), cut the R747m employee line further, and delay maintenance/rehabilitation — all reduce this year’s cost growth but damage safety, the ore body and future value, i.e. the opposite of the value-led strategy.</w:t>
      </w:r>
    </w:p>
    <w:p>
      <w:pPr>
        <w:pStyle w:val="ListBullet"/>
        <w:spacing w:after="60"/>
      </w:pPr>
      <w:r>
        <w:rPr>
          <w:b/>
          <w:sz w:val="20"/>
        </w:rPr>
        <w:t xml:space="preserve">Right idea, wrong metric. </w:t>
      </w:r>
      <w:r>
        <w:rPr>
          <w:sz w:val="20"/>
        </w:rPr>
        <w:t>Excluding impairments is sensible (they are price-driven and uncontrollable), but the measure ignores the equally uncontrollable US$ price and Rand/Dollar rate, and rewards mining LESS. Cost per carat by mine (mining cost ÷ carats recovered) would be far better.</w:t>
      </w:r>
    </w:p>
    <w:p>
      <w:pPr>
        <w:spacing w:before="120" w:after="40"/>
      </w:pPr>
      <w:r>
        <w:rPr>
          <w:b/>
          <w:color w:val="1F3D6B"/>
          <w:sz w:val="22"/>
        </w:rPr>
        <w:t>KPI 2 — Net profit growth of at least 5%</w:t>
      </w:r>
    </w:p>
    <w:p>
      <w:pPr>
        <w:pStyle w:val="ListBullet"/>
        <w:spacing w:after="60"/>
      </w:pPr>
      <w:r>
        <w:rPr>
          <w:b/>
          <w:sz w:val="20"/>
        </w:rPr>
        <w:t xml:space="preserve">Arithmetically impossible right now. </w:t>
      </w:r>
      <w:r>
        <w:rPr>
          <w:sz w:val="20"/>
        </w:rPr>
        <w:t>Diamante made a R1 044m loss; you cannot grow a negative by 5%. To show any profit management would need a &gt;R1bn swing — this target is either demotivating or an invitation to manipulate.</w:t>
      </w:r>
    </w:p>
    <w:p>
      <w:pPr>
        <w:pStyle w:val="ListBullet"/>
        <w:spacing w:after="60"/>
      </w:pPr>
      <w:r>
        <w:rPr>
          <w:b/>
          <w:sz w:val="20"/>
        </w:rPr>
        <w:t xml:space="preserve">The manipulation levers are already visible. </w:t>
      </w:r>
      <w:r>
        <w:rPr>
          <w:sz w:val="20"/>
        </w:rPr>
        <w:t>The two easiest ways to "create" profit at Diamante are the low-quality levers already in the numbers: (a) more asset disposals like the R405m Botswana profit, and (b) impairment choices — and the board is about to decide Mine 2’s future (Doc 3), where the accounting could flatter profit. Paying on profit growth risks steering that Mine 2 decision for bonus reasons.</w:t>
      </w:r>
    </w:p>
    <w:p>
      <w:pPr>
        <w:pStyle w:val="ListBullet"/>
        <w:spacing w:after="60"/>
      </w:pPr>
      <w:r>
        <w:rPr>
          <w:b/>
          <w:sz w:val="20"/>
        </w:rPr>
        <w:t xml:space="preserve">Almost entirely uncontrollable. </w:t>
      </w:r>
      <w:r>
        <w:rPr>
          <w:sz w:val="20"/>
        </w:rPr>
        <w:t>The loss is driven by the US$ diamond price, the exchange rate and R1 170m of impairments — none of which management sets. Good KPIs isolate what management influences.</w:t>
      </w:r>
    </w:p>
    <w:p>
      <w:pPr>
        <w:spacing w:before="120" w:after="40"/>
      </w:pPr>
      <w:r>
        <w:rPr>
          <w:b/>
          <w:color w:val="1F3D6B"/>
          <w:sz w:val="22"/>
        </w:rPr>
        <w:t>KPI 3 — High-value diamonds as a % of total diamonds mined</w:t>
      </w:r>
    </w:p>
    <w:p>
      <w:pPr>
        <w:pStyle w:val="ListBullet"/>
        <w:spacing w:after="60"/>
      </w:pPr>
      <w:r>
        <w:rPr>
          <w:b/>
          <w:sz w:val="20"/>
        </w:rPr>
        <w:t xml:space="preserve">Genuinely on-strategy. </w:t>
      </w:r>
      <w:r>
        <w:rPr>
          <w:sz w:val="20"/>
        </w:rPr>
        <w:t>It fits "value-led production" (recover the highest-value stones, not the most carats) and how Diamante sells — parcels sorted by characteristics and sold on tender with a minimum reserve price. This is the best-designed of the five.</w:t>
      </w:r>
    </w:p>
    <w:p>
      <w:pPr>
        <w:pStyle w:val="ListBullet"/>
        <w:spacing w:after="60"/>
      </w:pPr>
      <w:r>
        <w:rPr>
          <w:b/>
          <w:sz w:val="20"/>
        </w:rPr>
        <w:t xml:space="preserve">But geology-driven and definable to taste. </w:t>
      </w:r>
      <w:r>
        <w:rPr>
          <w:sz w:val="20"/>
        </w:rPr>
        <w:t>The % of high-value stones depends on the ore body more than on effort, and "high-value" must be tightly and independently defined (e.g. stones above a set US$/carat, size or colour threshold, verified through the SA DEEC sorting/tender records) or it can simply be redefined to hit the target.</w:t>
      </w:r>
    </w:p>
    <w:p>
      <w:pPr>
        <w:pStyle w:val="ListBullet"/>
        <w:spacing w:after="60"/>
      </w:pPr>
      <w:r>
        <w:rPr>
          <w:b/>
          <w:sz w:val="20"/>
        </w:rPr>
        <w:t xml:space="preserve">Doc 4 perverse incentive. </w:t>
      </w:r>
      <w:r>
        <w:rPr>
          <w:sz w:val="20"/>
        </w:rPr>
        <w:t>With two development blocks of different grade, managers could prioritise the high-grade block to lift the %, and sterilise (strand) the lower-grade block even where it is NPV-positive — destroying long-term resource value for a short-term ratio.</w:t>
      </w:r>
    </w:p>
    <w:p>
      <w:pPr>
        <w:spacing w:before="120" w:after="40"/>
      </w:pPr>
      <w:r>
        <w:rPr>
          <w:b/>
          <w:color w:val="1F3D6B"/>
          <w:sz w:val="22"/>
        </w:rPr>
        <w:t>KPI 4 — Reduction in inventories</w:t>
      </w:r>
    </w:p>
    <w:p>
      <w:pPr>
        <w:pStyle w:val="ListBullet"/>
        <w:spacing w:after="60"/>
      </w:pPr>
      <w:r>
        <w:rPr>
          <w:b/>
          <w:sz w:val="20"/>
        </w:rPr>
        <w:t xml:space="preserve">Relevant to the cash crisis, but strategically contradictory. </w:t>
      </w:r>
      <w:r>
        <w:rPr>
          <w:sz w:val="20"/>
        </w:rPr>
        <w:t>Inventory of R315m is real cash tied up, so reducing it helps liquidity — but the stated strategy is to DEFER tenders when prices are weak. Pushing stock out to hit this KPI, in today’s weak market, erodes the realised US$/carat Diamante would otherwise protect (possibly selling below the reserve price it would normally hold for).</w:t>
      </w:r>
    </w:p>
    <w:p>
      <w:pPr>
        <w:pStyle w:val="ListBullet"/>
        <w:spacing w:after="60"/>
      </w:pPr>
      <w:r>
        <w:rPr>
          <w:b/>
          <w:sz w:val="20"/>
        </w:rPr>
        <w:t xml:space="preserve">Easily met the wrong way. </w:t>
      </w:r>
      <w:r>
        <w:rPr>
          <w:sz w:val="20"/>
        </w:rPr>
        <w:t>Inventory also "reduces" through write-downs/obsolescence (Diamante already took R207m of financial-asset impairment) or simply by mining less — neither improves the business.</w:t>
      </w:r>
    </w:p>
    <w:p>
      <w:pPr>
        <w:pStyle w:val="ListBullet"/>
        <w:spacing w:after="60"/>
      </w:pPr>
      <w:r>
        <w:rPr>
          <w:b/>
          <w:sz w:val="20"/>
        </w:rPr>
        <w:t xml:space="preserve">Better framed as cash. </w:t>
      </w:r>
      <w:r>
        <w:rPr>
          <w:sz w:val="20"/>
        </w:rPr>
        <w:t>If the aim is liquidity, reward cash conversion / free cash flow, so managers release cash without dumping diamonds into a weak market.</w:t>
      </w:r>
    </w:p>
    <w:p>
      <w:pPr>
        <w:spacing w:before="120" w:after="40"/>
      </w:pPr>
      <w:r>
        <w:rPr>
          <w:b/>
          <w:color w:val="1F3D6B"/>
          <w:sz w:val="22"/>
        </w:rPr>
        <w:t>KPI 5 — EY Excellence in integrated reporting rating</w:t>
      </w:r>
    </w:p>
    <w:p>
      <w:pPr>
        <w:pStyle w:val="ListBullet"/>
        <w:spacing w:after="60"/>
      </w:pPr>
      <w:r>
        <w:rPr>
          <w:b/>
          <w:sz w:val="20"/>
        </w:rPr>
        <w:t xml:space="preserve">Rewards the report, not the reality. </w:t>
      </w:r>
      <w:r>
        <w:rPr>
          <w:sz w:val="20"/>
        </w:rPr>
        <w:t>A high reporting rating can be achieved with good disclosure and consultants rather than a real 35–40% Scope 1&amp;2 emissions cut, safer tailings or better rehabilitation — a textbook greenwashing risk at a mining company with genuine environmental exposure.</w:t>
      </w:r>
    </w:p>
    <w:p>
      <w:pPr>
        <w:pStyle w:val="ListBullet"/>
        <w:spacing w:after="60"/>
      </w:pPr>
      <w:r>
        <w:rPr>
          <w:b/>
          <w:sz w:val="20"/>
        </w:rPr>
        <w:t xml:space="preserve">External, subjective, uncontrollable. </w:t>
      </w:r>
      <w:r>
        <w:rPr>
          <w:sz w:val="20"/>
        </w:rPr>
        <w:t>It is a single third-party award, largely outside management’s direct control, and a narrow proxy for a broad ESG agenda. Better paired with, or replaced by, hard ESG outcomes.</w:t>
      </w:r>
    </w:p>
    <w:p>
      <w:pPr>
        <w:spacing w:before="120" w:after="40"/>
      </w:pPr>
      <w:r>
        <w:rPr>
          <w:b/>
          <w:color w:val="1F3D6B"/>
          <w:sz w:val="22"/>
        </w:rPr>
        <w:t>Cross-cutting KPI-design problems</w:t>
      </w:r>
    </w:p>
    <w:p>
      <w:pPr>
        <w:pStyle w:val="ListBullet"/>
        <w:spacing w:after="60"/>
      </w:pPr>
      <w:r>
        <w:rPr>
          <w:b/>
          <w:sz w:val="20"/>
        </w:rPr>
        <w:t xml:space="preserve">Controllability. </w:t>
      </w:r>
      <w:r>
        <w:rPr>
          <w:sz w:val="20"/>
        </w:rPr>
        <w:t>KPIs 2, 3 and 5 are dominated by things management cannot control (price, currency, geology, an external award). Good KPIs isolate management’s own influence.</w:t>
      </w:r>
    </w:p>
    <w:p>
      <w:pPr>
        <w:pStyle w:val="ListBullet"/>
        <w:spacing w:after="60"/>
      </w:pPr>
      <w:r>
        <w:rPr>
          <w:b/>
          <w:sz w:val="20"/>
        </w:rPr>
        <w:t xml:space="preserve">Achievability &amp; manipulation. </w:t>
      </w:r>
      <w:r>
        <w:rPr>
          <w:sz w:val="20"/>
        </w:rPr>
        <w:t>KPI 2 is unachievable; KPIs 2, 3 and 4 can each be "hit" by actions that destroy long-term value (disposals, sterilising ore, fire-sales).</w:t>
      </w:r>
    </w:p>
    <w:p>
      <w:pPr>
        <w:pStyle w:val="ListBullet"/>
        <w:spacing w:after="60"/>
      </w:pPr>
      <w:r>
        <w:rPr>
          <w:b/>
          <w:sz w:val="20"/>
        </w:rPr>
        <w:t xml:space="preserve">Balance, tiering &amp; missing measures. </w:t>
      </w:r>
      <w:r>
        <w:rPr>
          <w:sz w:val="20"/>
        </w:rPr>
        <w:t>No split of financial vs non-financial or leading vs lagging, no tiers for different responsibility levels, and — critically for a miner — no safety or rehabilitation measure at all.</w:t>
      </w:r>
    </w:p>
    <w:p>
      <w:pPr>
        <w:pStyle w:val="ListBullet"/>
        <w:spacing w:after="60"/>
      </w:pPr>
      <w:r>
        <w:rPr>
          <w:b/>
          <w:sz w:val="20"/>
        </w:rPr>
        <w:t xml:space="preserve">Weak link to the real priority. </w:t>
      </w:r>
      <w:r>
        <w:rPr>
          <w:sz w:val="20"/>
        </w:rPr>
        <w:t>Nothing directly rewards survival: cash, net-debt reduction, or hitting the refinancing milestones.</w:t>
      </w:r>
    </w:p>
    <w:p>
      <w:pPr>
        <w:spacing w:before="240" w:after="60"/>
        <w:pBdr>
          <w:bottom w:val="single" w:sz="6" w:space="2" w:color="808080"/>
        </w:pBdr>
      </w:pPr>
      <w:r>
        <w:rPr>
          <w:b/>
          <w:color w:val="1F3D6B"/>
          <w:sz w:val="26"/>
        </w:rPr>
        <w:t>3. Recommended alternative / additional KPIs (viable for Diamante)</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val="clear" w:fill="1f3d6b"/>
          </w:tcPr>
          <w:p>
            <w:r/>
            <w:r>
              <w:rPr>
                <w:b/>
                <w:color w:val="FFFFFF"/>
                <w:sz w:val="18"/>
              </w:rPr>
              <w:t>Theme</w:t>
            </w:r>
          </w:p>
        </w:tc>
        <w:tc>
          <w:tcPr>
            <w:tcW w:type="dxa" w:w="4320"/>
            <w:shd w:val="clear" w:fill="1f3d6b"/>
          </w:tcPr>
          <w:p>
            <w:r/>
            <w:r>
              <w:rPr>
                <w:b/>
                <w:color w:val="FFFFFF"/>
                <w:sz w:val="18"/>
              </w:rPr>
              <w:t>Recommended KPI</w:t>
            </w:r>
          </w:p>
        </w:tc>
        <w:tc>
          <w:tcPr>
            <w:tcW w:type="dxa" w:w="4320"/>
            <w:shd w:val="clear" w:fill="1f3d6b"/>
          </w:tcPr>
          <w:p>
            <w:r/>
            <w:r>
              <w:rPr>
                <w:b/>
                <w:color w:val="FFFFFF"/>
                <w:sz w:val="18"/>
              </w:rPr>
              <w:t>Why it fits Diamante</w:t>
            </w:r>
          </w:p>
        </w:tc>
      </w:tr>
      <w:tr>
        <w:tc>
          <w:tcPr>
            <w:tcW w:type="dxa" w:w="2160"/>
          </w:tcPr>
          <w:p>
            <w:r/>
            <w:r>
              <w:rPr>
                <w:sz w:val="18"/>
              </w:rPr>
              <w:t>Survival / liquidity</w:t>
            </w:r>
          </w:p>
        </w:tc>
        <w:tc>
          <w:tcPr>
            <w:tcW w:type="dxa" w:w="4320"/>
          </w:tcPr>
          <w:p>
            <w:r/>
            <w:r>
              <w:rPr>
                <w:sz w:val="18"/>
              </w:rPr>
              <w:t>Free cash flow; net-debt reduction; covenant compliance; refinancing milestones met</w:t>
            </w:r>
          </w:p>
        </w:tc>
        <w:tc>
          <w:tcPr>
            <w:tcW w:type="dxa" w:w="4320"/>
          </w:tcPr>
          <w:p>
            <w:r/>
            <w:r>
              <w:rPr>
                <w:sz w:val="18"/>
              </w:rPr>
              <w:t>Targets the #1 issue (going concern) and is largely controllable</w:t>
            </w:r>
          </w:p>
        </w:tc>
      </w:tr>
      <w:tr>
        <w:tc>
          <w:tcPr>
            <w:tcW w:type="dxa" w:w="2160"/>
          </w:tcPr>
          <w:p>
            <w:r/>
            <w:r>
              <w:rPr>
                <w:sz w:val="18"/>
              </w:rPr>
              <w:t>Realistic profitability</w:t>
            </w:r>
          </w:p>
        </w:tc>
        <w:tc>
          <w:tcPr>
            <w:tcW w:type="dxa" w:w="4320"/>
          </w:tcPr>
          <w:p>
            <w:r/>
            <w:r>
              <w:rPr>
                <w:sz w:val="18"/>
              </w:rPr>
              <w:t>Reduction in operating loss / positive adjusted EBITDA (base ~R207m)</w:t>
            </w:r>
          </w:p>
        </w:tc>
        <w:tc>
          <w:tcPr>
            <w:tcW w:type="dxa" w:w="4320"/>
          </w:tcPr>
          <w:p>
            <w:r/>
            <w:r>
              <w:rPr>
                <w:sz w:val="18"/>
              </w:rPr>
              <w:t>Achievable stepping-stone instead of an impossible "profit growth"</w:t>
            </w:r>
          </w:p>
        </w:tc>
      </w:tr>
      <w:tr>
        <w:tc>
          <w:tcPr>
            <w:tcW w:type="dxa" w:w="2160"/>
          </w:tcPr>
          <w:p>
            <w:r/>
            <w:r>
              <w:rPr>
                <w:sz w:val="18"/>
              </w:rPr>
              <w:t>Cost efficiency</w:t>
            </w:r>
          </w:p>
        </w:tc>
        <w:tc>
          <w:tcPr>
            <w:tcW w:type="dxa" w:w="4320"/>
          </w:tcPr>
          <w:p>
            <w:r/>
            <w:r>
              <w:rPr>
                <w:sz w:val="18"/>
              </w:rPr>
              <w:t>Cost per carat vs budget (by mine)</w:t>
            </w:r>
          </w:p>
        </w:tc>
        <w:tc>
          <w:tcPr>
            <w:tcW w:type="dxa" w:w="4320"/>
          </w:tcPr>
          <w:p>
            <w:r/>
            <w:r>
              <w:rPr>
                <w:sz w:val="18"/>
              </w:rPr>
              <w:t>Rewards efficiency without rewarding "mine less"</w:t>
            </w:r>
          </w:p>
        </w:tc>
      </w:tr>
      <w:tr>
        <w:tc>
          <w:tcPr>
            <w:tcW w:type="dxa" w:w="2160"/>
          </w:tcPr>
          <w:p>
            <w:r/>
            <w:r>
              <w:rPr>
                <w:sz w:val="18"/>
              </w:rPr>
              <w:t>Value-led strategy</w:t>
            </w:r>
          </w:p>
        </w:tc>
        <w:tc>
          <w:tcPr>
            <w:tcW w:type="dxa" w:w="4320"/>
          </w:tcPr>
          <w:p>
            <w:r/>
            <w:r>
              <w:rPr>
                <w:sz w:val="18"/>
              </w:rPr>
              <w:t>Realised US$/carat &amp; grade recovery, with an ore-not-sterilised guardrail</w:t>
            </w:r>
          </w:p>
        </w:tc>
        <w:tc>
          <w:tcPr>
            <w:tcW w:type="dxa" w:w="4320"/>
          </w:tcPr>
          <w:p>
            <w:r/>
            <w:r>
              <w:rPr>
                <w:sz w:val="18"/>
              </w:rPr>
              <w:t>Rewards the quality strategy while protecting the ore body</w:t>
            </w:r>
          </w:p>
        </w:tc>
      </w:tr>
      <w:tr>
        <w:tc>
          <w:tcPr>
            <w:tcW w:type="dxa" w:w="2160"/>
          </w:tcPr>
          <w:p>
            <w:r/>
            <w:r>
              <w:rPr>
                <w:sz w:val="18"/>
              </w:rPr>
              <w:t>Market-adjusted</w:t>
            </w:r>
          </w:p>
        </w:tc>
        <w:tc>
          <w:tcPr>
            <w:tcW w:type="dxa" w:w="4320"/>
          </w:tcPr>
          <w:p>
            <w:r/>
            <w:r>
              <w:rPr>
                <w:sz w:val="18"/>
              </w:rPr>
              <w:t>Performance vs a diamond-price index / peers (De Beers, Petra)</w:t>
            </w:r>
          </w:p>
        </w:tc>
        <w:tc>
          <w:tcPr>
            <w:tcW w:type="dxa" w:w="4320"/>
          </w:tcPr>
          <w:p>
            <w:r/>
            <w:r>
              <w:rPr>
                <w:sz w:val="18"/>
              </w:rPr>
              <w:t>Strips out uncontrollable price &amp; currency</w:t>
            </w:r>
          </w:p>
        </w:tc>
      </w:tr>
      <w:tr>
        <w:tc>
          <w:tcPr>
            <w:tcW w:type="dxa" w:w="2160"/>
          </w:tcPr>
          <w:p>
            <w:r/>
            <w:r>
              <w:rPr>
                <w:sz w:val="18"/>
              </w:rPr>
              <w:t>Safety &amp; sustainability</w:t>
            </w:r>
          </w:p>
        </w:tc>
        <w:tc>
          <w:tcPr>
            <w:tcW w:type="dxa" w:w="4320"/>
          </w:tcPr>
          <w:p>
            <w:r/>
            <w:r>
              <w:rPr>
                <w:sz w:val="18"/>
              </w:rPr>
              <w:t>Injury rate (TRIFR); tailings &amp; rehabilitation compliance; GHG vs the 35–40% roadmap</w:t>
            </w:r>
          </w:p>
        </w:tc>
        <w:tc>
          <w:tcPr>
            <w:tcW w:type="dxa" w:w="4320"/>
          </w:tcPr>
          <w:p>
            <w:r/>
            <w:r>
              <w:rPr>
                <w:sz w:val="18"/>
              </w:rPr>
              <w:t>Counters "unsustainable mining"; real ESG, not a report rating</w:t>
            </w:r>
          </w:p>
        </w:tc>
      </w:tr>
    </w:tbl>
    <w:p>
      <w:pPr>
        <w:spacing w:before="120" w:after="40"/>
      </w:pPr>
      <w:r>
        <w:rPr>
          <w:b/>
          <w:color w:val="1F3D6B"/>
          <w:sz w:val="21"/>
        </w:rPr>
        <w:t>How each would actually be implemented at Diamante</w:t>
      </w:r>
    </w:p>
    <w:p>
      <w:pPr>
        <w:pStyle w:val="ListBullet"/>
        <w:spacing w:after="60"/>
      </w:pPr>
      <w:r>
        <w:rPr>
          <w:b/>
          <w:sz w:val="20"/>
        </w:rPr>
        <w:t xml:space="preserve">Free cash flow &amp; net debt. </w:t>
      </w:r>
      <w:r>
        <w:rPr>
          <w:sz w:val="20"/>
        </w:rPr>
        <w:t>Define FCF = cash from operations − sustaining capex; net debt = borrowings − cash (R2 592m today). Set annual net-debt-reduction targets aligned to the bank’s 2030 extension terms, and gate vesting on the refinancing (rights issue + shareholder-loan revision) actually completing. This rewards exactly what keeps Diamante alive.</w:t>
      </w:r>
    </w:p>
    <w:p>
      <w:pPr>
        <w:pStyle w:val="ListBullet"/>
        <w:spacing w:after="60"/>
      </w:pPr>
      <w:r>
        <w:rPr>
          <w:b/>
          <w:sz w:val="20"/>
        </w:rPr>
        <w:t xml:space="preserve">Cost per carat, not absolute cost. </w:t>
      </w:r>
      <w:r>
        <w:rPr>
          <w:sz w:val="20"/>
        </w:rPr>
        <w:t>Measure mining cost ÷ carats recovered per mine, against budget. This needs production/carat data (request it from operations) but it stops managers "winning" by deferring development or mining less — the loophole in KPI 1.</w:t>
      </w:r>
    </w:p>
    <w:p>
      <w:pPr>
        <w:pStyle w:val="ListBullet"/>
        <w:spacing w:after="60"/>
      </w:pPr>
      <w:r>
        <w:rPr>
          <w:b/>
          <w:sz w:val="20"/>
        </w:rPr>
        <w:t xml:space="preserve">Realistic profit step. </w:t>
      </w:r>
      <w:r>
        <w:rPr>
          <w:sz w:val="20"/>
        </w:rPr>
        <w:t>Reward a reduction in operating loss or a positive adjusted EBITDA (build off the current +R207m), so the target is credible and motivating rather than a R1bn fantasy.</w:t>
      </w:r>
    </w:p>
    <w:p>
      <w:pPr>
        <w:pStyle w:val="ListBullet"/>
        <w:spacing w:after="60"/>
      </w:pPr>
      <w:r>
        <w:rPr>
          <w:b/>
          <w:sz w:val="20"/>
        </w:rPr>
        <w:t xml:space="preserve">Realised value with a guardrail. </w:t>
      </w:r>
      <w:r>
        <w:rPr>
          <w:sz w:val="20"/>
        </w:rPr>
        <w:t>Reward realised US$/carat and grade recovery, but require the independent geologist already used in Doc 4 to sign off that no NPV-positive block has been sterilised — so the value KPI cannot be gamed by high-grading.</w:t>
      </w:r>
    </w:p>
    <w:p>
      <w:pPr>
        <w:pStyle w:val="ListBullet"/>
        <w:spacing w:after="60"/>
      </w:pPr>
      <w:r>
        <w:rPr>
          <w:b/>
          <w:sz w:val="20"/>
        </w:rPr>
        <w:t xml:space="preserve">Relative / market-adjusted targets. </w:t>
      </w:r>
      <w:r>
        <w:rPr>
          <w:sz w:val="20"/>
        </w:rPr>
        <w:t>Index targets to a diamond-price index or listed peers (De Beers/Anglo, Petra) so pay reflects out- or under-performance versus the sector, not the diamond cycle or the Rand.</w:t>
      </w:r>
    </w:p>
    <w:p>
      <w:pPr>
        <w:pStyle w:val="ListBullet"/>
        <w:spacing w:after="60"/>
      </w:pPr>
      <w:r>
        <w:rPr>
          <w:b/>
          <w:sz w:val="20"/>
        </w:rPr>
        <w:t xml:space="preserve">Safety &amp; ESG with substance. </w:t>
      </w:r>
      <w:r>
        <w:rPr>
          <w:sz w:val="20"/>
        </w:rPr>
        <w:t>Use TRIFR (injuries per million hours), tailings-facility and rehabilitation-provision compliance, and GHG reduction against Diamante’s own 35–40% Scope 1&amp;2 roadmap — all measurable and tied to stated strategy — instead of an external report award.</w:t>
      </w:r>
    </w:p>
    <w:p>
      <w:pPr>
        <w:pStyle w:val="ListBullet"/>
        <w:spacing w:after="60"/>
      </w:pPr>
      <w:r>
        <w:rPr>
          <w:b/>
          <w:sz w:val="20"/>
        </w:rPr>
        <w:t xml:space="preserve">Tier by responsibility. </w:t>
      </w:r>
      <w:r>
        <w:rPr>
          <w:sz w:val="20"/>
        </w:rPr>
        <w:t>Executives on group FCF, net debt, adjusted EBITDA and the refinancing; mine managers on their own mine’s cost-per-carat, grade recovery and safety — so each person is judged on what they control.</w:t>
      </w:r>
    </w:p>
    <w:p>
      <w:pPr>
        <w:pStyle w:val="ListBullet"/>
        <w:spacing w:after="60"/>
      </w:pPr>
      <w:r>
        <w:rPr>
          <w:b/>
          <w:sz w:val="20"/>
        </w:rPr>
        <w:t xml:space="preserve">Protect shareholders while fragile. </w:t>
      </w:r>
      <w:r>
        <w:rPr>
          <w:sz w:val="20"/>
        </w:rPr>
        <w:t>Cap the payout, add malus/clawback (withhold/recover if a safety incident, restatement or covenant breach occurs), and defer vesting until the going-concern risk clears — appropriate while asking shareholders for a rights issue.</w:t>
      </w:r>
    </w:p>
    <w:p>
      <w:pPr>
        <w:spacing w:before="240" w:after="60"/>
        <w:pBdr>
          <w:bottom w:val="single" w:sz="6" w:space="2" w:color="808080"/>
        </w:pBdr>
      </w:pPr>
      <w:r>
        <w:rPr>
          <w:b/>
          <w:color w:val="1F3D6B"/>
          <w:sz w:val="26"/>
        </w:rPr>
        <w:t>4. Ethical principles in Document 5 (applied to Diamante)</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val="clear" w:fill="1f3d6b"/>
          </w:tcPr>
          <w:p>
            <w:r/>
            <w:r>
              <w:rPr>
                <w:b/>
                <w:color w:val="FFFFFF"/>
                <w:sz w:val="18"/>
              </w:rPr>
              <w:t>Ethical / governance issue</w:t>
            </w:r>
          </w:p>
        </w:tc>
        <w:tc>
          <w:tcPr>
            <w:tcW w:type="dxa" w:w="5904"/>
            <w:shd w:val="clear" w:fill="1f3d6b"/>
          </w:tcPr>
          <w:p>
            <w:r/>
            <w:r>
              <w:rPr>
                <w:b/>
                <w:color w:val="FFFFFF"/>
                <w:sz w:val="18"/>
              </w:rPr>
              <w:t>How it plays out at Diamante</w:t>
            </w:r>
          </w:p>
        </w:tc>
        <w:tc>
          <w:tcPr>
            <w:tcW w:type="dxa" w:w="2160"/>
            <w:shd w:val="clear" w:fill="1f3d6b"/>
          </w:tcPr>
          <w:p>
            <w:r/>
            <w:r>
              <w:rPr>
                <w:b/>
                <w:color w:val="FFFFFF"/>
                <w:sz w:val="18"/>
              </w:rPr>
              <w:t>King IV</w:t>
            </w:r>
          </w:p>
        </w:tc>
      </w:tr>
      <w:tr>
        <w:tc>
          <w:tcPr>
            <w:tcW w:type="dxa" w:w="2880"/>
          </w:tcPr>
          <w:p>
            <w:r/>
            <w:r>
              <w:rPr>
                <w:sz w:val="18"/>
              </w:rPr>
              <w:t>Fairness — "reward for failure"</w:t>
            </w:r>
          </w:p>
        </w:tc>
        <w:tc>
          <w:tcPr>
            <w:tcW w:type="dxa" w:w="5904"/>
          </w:tcPr>
          <w:p>
            <w:r/>
            <w:r>
              <w:rPr>
                <w:sz w:val="18"/>
              </w:rPr>
              <w:t>Staff bonuses were PAUSED for everyone in 2026, yet executives stand to get shares worth 3–5× salary in a year of a R1 044m loss and going-concern doubt. This is what drove the AGM dissent Lavashni refers to.</w:t>
            </w:r>
          </w:p>
        </w:tc>
        <w:tc>
          <w:tcPr>
            <w:tcW w:type="dxa" w:w="2160"/>
          </w:tcPr>
          <w:p>
            <w:r/>
            <w:r>
              <w:rPr>
                <w:sz w:val="18"/>
              </w:rPr>
              <w:t>Fair, responsible &amp; transparent remuneration (P14)</w:t>
            </w:r>
          </w:p>
        </w:tc>
      </w:tr>
      <w:tr>
        <w:tc>
          <w:tcPr>
            <w:tcW w:type="dxa" w:w="2880"/>
          </w:tcPr>
          <w:p>
            <w:r/>
            <w:r>
              <w:rPr>
                <w:sz w:val="18"/>
              </w:rPr>
              <w:t>Conflict of interest / self-interest</w:t>
            </w:r>
          </w:p>
        </w:tc>
        <w:tc>
          <w:tcPr>
            <w:tcW w:type="dxa" w:w="5904"/>
          </w:tcPr>
          <w:p>
            <w:r/>
            <w:r>
              <w:rPr>
                <w:sz w:val="18"/>
              </w:rPr>
              <w:t>Management influence the very KPIs they are paid on (asset sales, inventory, high-value %), and benefit from them — so an independent Remco must set and verify targets (hence Lavashni’s role and competence matter).</w:t>
            </w:r>
          </w:p>
        </w:tc>
        <w:tc>
          <w:tcPr>
            <w:tcW w:type="dxa" w:w="2160"/>
          </w:tcPr>
          <w:p>
            <w:r/>
            <w:r>
              <w:rPr>
                <w:sz w:val="18"/>
              </w:rPr>
              <w:t>Integrity; objectivity; P8</w:t>
            </w:r>
          </w:p>
        </w:tc>
      </w:tr>
      <w:tr>
        <w:tc>
          <w:tcPr>
            <w:tcW w:type="dxa" w:w="2880"/>
          </w:tcPr>
          <w:p>
            <w:r/>
            <w:r>
              <w:rPr>
                <w:sz w:val="18"/>
              </w:rPr>
              <w:t>Manipulation / integrity</w:t>
            </w:r>
          </w:p>
        </w:tc>
        <w:tc>
          <w:tcPr>
            <w:tcW w:type="dxa" w:w="5904"/>
          </w:tcPr>
          <w:p>
            <w:r/>
            <w:r>
              <w:rPr>
                <w:sz w:val="18"/>
              </w:rPr>
              <w:t>KPIs 2–4 can be met by value-destroying actions — disposals (like the R405m mine sale), impairment choices on Mine 2, sterilising ore, fire-selling stock — an incentive to act against shareholders’ long-term interests.</w:t>
            </w:r>
          </w:p>
        </w:tc>
        <w:tc>
          <w:tcPr>
            <w:tcW w:type="dxa" w:w="2160"/>
          </w:tcPr>
          <w:p>
            <w:r/>
            <w:r>
              <w:rPr>
                <w:sz w:val="18"/>
              </w:rPr>
              <w:t>Integrity; responsible citizen (P3)</w:t>
            </w:r>
          </w:p>
        </w:tc>
      </w:tr>
      <w:tr>
        <w:tc>
          <w:tcPr>
            <w:tcW w:type="dxa" w:w="2880"/>
          </w:tcPr>
          <w:p>
            <w:r/>
            <w:r>
              <w:rPr>
                <w:sz w:val="18"/>
              </w:rPr>
              <w:t>Sustainability / responsibility</w:t>
            </w:r>
          </w:p>
        </w:tc>
        <w:tc>
          <w:tcPr>
            <w:tcW w:type="dxa" w:w="5904"/>
          </w:tcPr>
          <w:p>
            <w:r/>
            <w:r>
              <w:rPr>
                <w:sz w:val="18"/>
              </w:rPr>
              <w:t>Blunt cost/volume KPIs could push unsafe or unsustainable mining (the R90m employee-cost cut, deferred rehabilitation/tailings spend) — real community, environmental and mining-licence risk.</w:t>
            </w:r>
          </w:p>
        </w:tc>
        <w:tc>
          <w:tcPr>
            <w:tcW w:type="dxa" w:w="2160"/>
          </w:tcPr>
          <w:p>
            <w:r/>
            <w:r>
              <w:rPr>
                <w:sz w:val="18"/>
              </w:rPr>
              <w:t>Responsible corporate citizen (P3)</w:t>
            </w:r>
          </w:p>
        </w:tc>
      </w:tr>
      <w:tr>
        <w:tc>
          <w:tcPr>
            <w:tcW w:type="dxa" w:w="2880"/>
          </w:tcPr>
          <w:p>
            <w:r/>
            <w:r>
              <w:rPr>
                <w:sz w:val="18"/>
              </w:rPr>
              <w:t>Competence &amp; availability of the Remco chair</w:t>
            </w:r>
          </w:p>
        </w:tc>
        <w:tc>
          <w:tcPr>
            <w:tcW w:type="dxa" w:w="5904"/>
          </w:tcPr>
          <w:p>
            <w:r/>
            <w:r>
              <w:rPr>
                <w:sz w:val="18"/>
              </w:rPr>
              <w:t>Lavashni is newly appointed, did NOT attend the AGM, is confirming basic facts, shows limited understanding of the KPIs, and is on leave a week — questions over competence, due care and time to chair remuneration properly (though as an INED she does bring independence).</w:t>
            </w:r>
          </w:p>
        </w:tc>
        <w:tc>
          <w:tcPr>
            <w:tcW w:type="dxa" w:w="2160"/>
          </w:tcPr>
          <w:p>
            <w:r/>
            <w:r>
              <w:rPr>
                <w:sz w:val="18"/>
              </w:rPr>
              <w:t>Competence; diligence; effective committees (P8)</w:t>
            </w:r>
          </w:p>
        </w:tc>
      </w:tr>
      <w:tr>
        <w:tc>
          <w:tcPr>
            <w:tcW w:type="dxa" w:w="2880"/>
          </w:tcPr>
          <w:p>
            <w:r/>
            <w:r>
              <w:rPr>
                <w:sz w:val="18"/>
              </w:rPr>
              <w:t>Transparency &amp; governance process</w:t>
            </w:r>
          </w:p>
        </w:tc>
        <w:tc>
          <w:tcPr>
            <w:tcW w:type="dxa" w:w="5904"/>
          </w:tcPr>
          <w:p>
            <w:r/>
            <w:r>
              <w:rPr>
                <w:sz w:val="18"/>
              </w:rPr>
              <w:t>Needs a documented remuneration policy, clear KPI definitions, minuted Remco meetings and shareholder (say-on-pay) approval — especially given the prior dissent.</w:t>
            </w:r>
          </w:p>
        </w:tc>
        <w:tc>
          <w:tcPr>
            <w:tcW w:type="dxa" w:w="2160"/>
          </w:tcPr>
          <w:p>
            <w:r/>
            <w:r>
              <w:rPr>
                <w:sz w:val="18"/>
              </w:rPr>
              <w:t>Transparency; accountability; P14</w:t>
            </w:r>
          </w:p>
        </w:tc>
      </w:tr>
      <w:tr>
        <w:tc>
          <w:tcPr>
            <w:tcW w:type="dxa" w:w="2880"/>
          </w:tcPr>
          <w:p>
            <w:r/>
            <w:r>
              <w:rPr>
                <w:sz w:val="18"/>
              </w:rPr>
              <w:t>Stakeholder fairness &amp; going concern</w:t>
            </w:r>
          </w:p>
        </w:tc>
        <w:tc>
          <w:tcPr>
            <w:tcW w:type="dxa" w:w="5904"/>
          </w:tcPr>
          <w:p>
            <w:r/>
            <w:r>
              <w:rPr>
                <w:sz w:val="18"/>
              </w:rPr>
              <w:t>Granting dilutive shares to management while asking shareholders for a rights issue and lenders for an extension means shareholders and creditors carry the risk while management is rewarded.</w:t>
            </w:r>
          </w:p>
        </w:tc>
        <w:tc>
          <w:tcPr>
            <w:tcW w:type="dxa" w:w="2160"/>
          </w:tcPr>
          <w:p>
            <w:r/>
            <w:r>
              <w:rPr>
                <w:sz w:val="18"/>
              </w:rPr>
              <w:t>Stakeholder-inclusive; responsible leadership (P1, P16)</w:t>
            </w:r>
          </w:p>
        </w:tc>
      </w:tr>
      <w:tr>
        <w:tc>
          <w:tcPr>
            <w:tcW w:type="dxa" w:w="2880"/>
          </w:tcPr>
          <w:p>
            <w:r/>
            <w:r>
              <w:rPr>
                <w:sz w:val="18"/>
              </w:rPr>
              <w:t>My role (newly-qualified CA)</w:t>
            </w:r>
          </w:p>
        </w:tc>
        <w:tc>
          <w:tcPr>
            <w:tcW w:type="dxa" w:w="5904"/>
          </w:tcPr>
          <w:p>
            <w:r/>
            <w:r>
              <w:rPr>
                <w:sz w:val="18"/>
              </w:rPr>
              <w:t>Give balanced, objective advice — flag the mis-calibrated KPIs and the going-concern/ethics tension rather than simply endorse management’s scheme; keep competence, objectivity and confidentiality.</w:t>
            </w:r>
          </w:p>
        </w:tc>
        <w:tc>
          <w:tcPr>
            <w:tcW w:type="dxa" w:w="2160"/>
          </w:tcPr>
          <w:p>
            <w:r/>
            <w:r>
              <w:rPr>
                <w:sz w:val="18"/>
              </w:rPr>
              <w:t>Professional competence &amp; due care; objectivity</w:t>
            </w:r>
          </w:p>
        </w:tc>
      </w:tr>
    </w:tbl>
    <w:p>
      <w:pPr>
        <w:spacing w:before="240" w:after="60"/>
        <w:pBdr>
          <w:bottom w:val="single" w:sz="6" w:space="2" w:color="808080"/>
        </w:pBdr>
      </w:pPr>
      <w:r>
        <w:rPr>
          <w:b/>
          <w:color w:val="1F3D6B"/>
          <w:sz w:val="26"/>
        </w:rPr>
        <w:t>Accounting &amp; going-concern link (brief)</w:t>
      </w:r>
    </w:p>
    <w:p>
      <w:pPr>
        <w:pStyle w:val="ListBullet"/>
        <w:spacing w:after="60"/>
      </w:pPr>
      <w:r>
        <w:rPr>
          <w:b/>
          <w:sz w:val="20"/>
        </w:rPr>
        <w:t xml:space="preserve">IFRS 2. </w:t>
      </w:r>
      <w:r>
        <w:rPr>
          <w:sz w:val="20"/>
        </w:rPr>
        <w:t>The shares are equity-settled but the number is fixed only at the vesting date on the share price then — the measurement and vesting-condition treatment need care. A "nil / low value" argument only holds if the probability of the KPIs vesting is genuinely low, which is itself a telling comment on how achievable they are.</w:t>
      </w:r>
    </w:p>
    <w:p>
      <w:pPr>
        <w:pStyle w:val="ListBullet"/>
        <w:spacing w:after="60"/>
      </w:pPr>
      <w:r>
        <w:rPr>
          <w:b/>
          <w:sz w:val="20"/>
        </w:rPr>
        <w:t xml:space="preserve">Everything ties to going concern. </w:t>
      </w:r>
      <w:r>
        <w:rPr>
          <w:sz w:val="20"/>
        </w:rPr>
        <w:t>Rewarding management heavily while liquidity is critical and the refinancing is unresolved is both a financial-reporting judgement and an ethical one — and is the thread linking all four sections above.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