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D6B"/>
          <w:sz w:val="28"/>
        </w:rPr>
        <w:t>Petra Diamonds Sustainability KPIs — applied to Diamante, with SDG linkage</w:t>
      </w:r>
    </w:p>
    <w:p>
      <w:pPr>
        <w:spacing w:after="80"/>
      </w:pPr>
      <w:r>
        <w:rPr>
          <w:i/>
          <w:sz w:val="18"/>
        </w:rPr>
        <w:t>This document sets out the sustainability KPIs that Petra Diamonds reports (a close comparator to Diamante), with the formula, inputs, an easy example, the plain-English output, and how to use each in an APC discussion. Following Petra’s own approach, every KPI is linked to the relevant UN Sustainable Development Goal (SDG) and made relevant to Diamante. Where a real Petra figure is available it is shown; other examples are illustrative.</w:t>
      </w:r>
    </w:p>
    <w:p>
      <w:pPr>
        <w:spacing w:before="180" w:after="40"/>
        <w:pBdr>
          <w:bottom w:val="single" w:sz="6" w:space="2" w:color="808080"/>
        </w:pBdr>
      </w:pPr>
      <w:r>
        <w:rPr>
          <w:b/>
          <w:color w:val="1F3D6B"/>
          <w:sz w:val="26"/>
        </w:rPr>
        <w:t>Why the SDG linkage matters (and why it is powerful in an APC answer)</w:t>
      </w:r>
    </w:p>
    <w:p>
      <w:pPr>
        <w:pStyle w:val="ListBullet"/>
        <w:spacing w:after="40"/>
      </w:pPr>
      <w:r>
        <w:rPr>
          <w:sz w:val="19"/>
        </w:rPr>
        <w:t>Petra organises its sustainability around three pillars — People, Planet and Partnerships — and links each KPI to the UN Sustainable Development Goals, focusing on a core set of goals while reporting on all that are relevant.</w:t>
      </w:r>
    </w:p>
    <w:p>
      <w:pPr>
        <w:pStyle w:val="ListBullet"/>
        <w:spacing w:after="40"/>
      </w:pPr>
      <w:r>
        <w:rPr>
          <w:sz w:val="19"/>
        </w:rPr>
        <w:t>Linking KPIs to the SDGs is an example of integrated thinking under King IV, because it shows how the business creates value across the six capitals (financial, human, natural, social and relationship, manufactured and intellectual), not just financially.</w:t>
      </w:r>
    </w:p>
    <w:p>
      <w:pPr>
        <w:pStyle w:val="ListBullet"/>
        <w:spacing w:after="40"/>
      </w:pPr>
      <w:r>
        <w:rPr>
          <w:sz w:val="19"/>
        </w:rPr>
        <w:t>In an APC answer, mapping a KPI to an SDG demonstrates that the strategy is genuinely embedded rather than greenwashing, which is exactly the weakness in Diamante’s reporting-award KPI.</w:t>
      </w:r>
    </w:p>
    <w:p>
      <w:pPr>
        <w:pStyle w:val="ListBullet"/>
        <w:spacing w:after="40"/>
      </w:pPr>
      <w:r>
        <w:rPr>
          <w:sz w:val="19"/>
        </w:rPr>
        <w:t>It also connects sustainability to real risk and value, such as licence to operate, carbon tax, water restrictions and reputational access to markets, which is what markers reward.</w:t>
      </w:r>
    </w:p>
    <w:p>
      <w:pPr>
        <w:spacing w:before="180" w:after="40"/>
        <w:pBdr>
          <w:bottom w:val="single" w:sz="6" w:space="2" w:color="808080"/>
        </w:pBdr>
      </w:pPr>
      <w:r>
        <w:rPr>
          <w:b/>
          <w:color w:val="1F3D6B"/>
          <w:sz w:val="26"/>
        </w:rPr>
        <w:t>Quick map — KPI to SDG to Diamante relevance</w:t>
      </w:r>
    </w:p>
    <w:tbl>
      <w:tblPr>
        <w:tblStyle w:val="TableGrid"/>
        <w:tblW w:type="auto" w:w="0"/>
        <w:jc w:val="center"/>
        <w:tblLook w:firstColumn="1" w:firstRow="1" w:lastColumn="0" w:lastRow="0" w:noHBand="0" w:noVBand="1" w:val="04A0"/>
      </w:tblPr>
      <w:tblGrid>
        <w:gridCol w:w="3552"/>
        <w:gridCol w:w="3552"/>
        <w:gridCol w:w="3552"/>
      </w:tblGrid>
      <w:tr>
        <w:tc>
          <w:tcPr>
            <w:tcW w:type="dxa" w:w="3168"/>
            <w:shd w:val="clear" w:fill="1f5b3a"/>
          </w:tcPr>
          <w:p>
            <w:r/>
            <w:r>
              <w:rPr>
                <w:b/>
                <w:color w:val="FFFFFF"/>
                <w:sz w:val="17"/>
              </w:rPr>
              <w:t>Sustainability KPI</w:t>
            </w:r>
          </w:p>
        </w:tc>
        <w:tc>
          <w:tcPr>
            <w:tcW w:type="dxa" w:w="2160"/>
            <w:shd w:val="clear" w:fill="1f5b3a"/>
          </w:tcPr>
          <w:p>
            <w:r/>
            <w:r>
              <w:rPr>
                <w:b/>
                <w:color w:val="FFFFFF"/>
                <w:sz w:val="17"/>
              </w:rPr>
              <w:t>Main SDG(s)</w:t>
            </w:r>
          </w:p>
        </w:tc>
        <w:tc>
          <w:tcPr>
            <w:tcW w:type="dxa" w:w="4752"/>
            <w:shd w:val="clear" w:fill="1f5b3a"/>
          </w:tcPr>
          <w:p>
            <w:r/>
            <w:r>
              <w:rPr>
                <w:b/>
                <w:color w:val="FFFFFF"/>
                <w:sz w:val="17"/>
              </w:rPr>
              <w:t>Why it matters for Diamante</w:t>
            </w:r>
          </w:p>
        </w:tc>
      </w:tr>
      <w:tr>
        <w:tc>
          <w:tcPr>
            <w:tcW w:type="dxa" w:w="3168"/>
          </w:tcPr>
          <w:p>
            <w:r/>
            <w:r>
              <w:rPr>
                <w:sz w:val="17"/>
              </w:rPr>
              <w:t>Safety (LTIFR)</w:t>
            </w:r>
          </w:p>
        </w:tc>
        <w:tc>
          <w:tcPr>
            <w:tcW w:type="dxa" w:w="2160"/>
          </w:tcPr>
          <w:p>
            <w:r/>
            <w:r>
              <w:rPr>
                <w:sz w:val="17"/>
              </w:rPr>
              <w:t>SDG 3, SDG 8</w:t>
            </w:r>
          </w:p>
        </w:tc>
        <w:tc>
          <w:tcPr>
            <w:tcW w:type="dxa" w:w="4752"/>
          </w:tcPr>
          <w:p>
            <w:r/>
            <w:r>
              <w:rPr>
                <w:sz w:val="17"/>
              </w:rPr>
              <w:t>Deep-level SA mining is high-risk; Diamante has no safety KPI</w:t>
            </w:r>
          </w:p>
        </w:tc>
      </w:tr>
      <w:tr>
        <w:tc>
          <w:tcPr>
            <w:tcW w:type="dxa" w:w="3168"/>
          </w:tcPr>
          <w:p>
            <w:r/>
            <w:r>
              <w:rPr>
                <w:sz w:val="17"/>
              </w:rPr>
              <w:t>GHG Scope 1 &amp; 2 emissions</w:t>
            </w:r>
          </w:p>
        </w:tc>
        <w:tc>
          <w:tcPr>
            <w:tcW w:type="dxa" w:w="2160"/>
          </w:tcPr>
          <w:p>
            <w:r/>
            <w:r>
              <w:rPr>
                <w:sz w:val="17"/>
              </w:rPr>
              <w:t>SDG 13, SDG 7</w:t>
            </w:r>
          </w:p>
        </w:tc>
        <w:tc>
          <w:tcPr>
            <w:tcW w:type="dxa" w:w="4752"/>
          </w:tcPr>
          <w:p>
            <w:r/>
            <w:r>
              <w:rPr>
                <w:sz w:val="17"/>
              </w:rPr>
              <w:t>Diamante has the same 35–40% by 2030 roadmap</w:t>
            </w:r>
          </w:p>
        </w:tc>
      </w:tr>
      <w:tr>
        <w:tc>
          <w:tcPr>
            <w:tcW w:type="dxa" w:w="3168"/>
          </w:tcPr>
          <w:p>
            <w:r/>
            <w:r>
              <w:rPr>
                <w:sz w:val="17"/>
              </w:rPr>
              <w:t>Energy / renewables</w:t>
            </w:r>
          </w:p>
        </w:tc>
        <w:tc>
          <w:tcPr>
            <w:tcW w:type="dxa" w:w="2160"/>
          </w:tcPr>
          <w:p>
            <w:r/>
            <w:r>
              <w:rPr>
                <w:sz w:val="17"/>
              </w:rPr>
              <w:t>SDG 7, SDG 13</w:t>
            </w:r>
          </w:p>
        </w:tc>
        <w:tc>
          <w:tcPr>
            <w:tcW w:type="dxa" w:w="4752"/>
          </w:tcPr>
          <w:p>
            <w:r/>
            <w:r>
              <w:rPr>
                <w:sz w:val="17"/>
              </w:rPr>
              <w:t>Reduces both cost and carbon (Eskom reliance)</w:t>
            </w:r>
          </w:p>
        </w:tc>
      </w:tr>
      <w:tr>
        <w:tc>
          <w:tcPr>
            <w:tcW w:type="dxa" w:w="3168"/>
          </w:tcPr>
          <w:p>
            <w:r/>
            <w:r>
              <w:rPr>
                <w:sz w:val="17"/>
              </w:rPr>
              <w:t>Water use &amp; recycling</w:t>
            </w:r>
          </w:p>
        </w:tc>
        <w:tc>
          <w:tcPr>
            <w:tcW w:type="dxa" w:w="2160"/>
          </w:tcPr>
          <w:p>
            <w:r/>
            <w:r>
              <w:rPr>
                <w:sz w:val="17"/>
              </w:rPr>
              <w:t>SDG 6</w:t>
            </w:r>
          </w:p>
        </w:tc>
        <w:tc>
          <w:tcPr>
            <w:tcW w:type="dxa" w:w="4752"/>
          </w:tcPr>
          <w:p>
            <w:r/>
            <w:r>
              <w:rPr>
                <w:sz w:val="17"/>
              </w:rPr>
              <w:t>SA is water-scarce; "restricted access to water" is a stated risk</w:t>
            </w:r>
          </w:p>
        </w:tc>
      </w:tr>
      <w:tr>
        <w:tc>
          <w:tcPr>
            <w:tcW w:type="dxa" w:w="3168"/>
          </w:tcPr>
          <w:p>
            <w:r/>
            <w:r>
              <w:rPr>
                <w:sz w:val="17"/>
              </w:rPr>
              <w:t>Rehabilitation &amp; tailings</w:t>
            </w:r>
          </w:p>
        </w:tc>
        <w:tc>
          <w:tcPr>
            <w:tcW w:type="dxa" w:w="2160"/>
          </w:tcPr>
          <w:p>
            <w:r/>
            <w:r>
              <w:rPr>
                <w:sz w:val="17"/>
              </w:rPr>
              <w:t>SDG 15, SDG 6, SDG 11</w:t>
            </w:r>
          </w:p>
        </w:tc>
        <w:tc>
          <w:tcPr>
            <w:tcW w:type="dxa" w:w="4752"/>
          </w:tcPr>
          <w:p>
            <w:r/>
            <w:r>
              <w:rPr>
                <w:sz w:val="17"/>
              </w:rPr>
              <w:t>Tailings failure is a stated risk; underpins IAS 37 provisions</w:t>
            </w:r>
          </w:p>
        </w:tc>
      </w:tr>
      <w:tr>
        <w:tc>
          <w:tcPr>
            <w:tcW w:type="dxa" w:w="3168"/>
          </w:tcPr>
          <w:p>
            <w:r/>
            <w:r>
              <w:rPr>
                <w:sz w:val="17"/>
              </w:rPr>
              <w:t>Health &amp; wellbeing</w:t>
            </w:r>
          </w:p>
        </w:tc>
        <w:tc>
          <w:tcPr>
            <w:tcW w:type="dxa" w:w="2160"/>
          </w:tcPr>
          <w:p>
            <w:r/>
            <w:r>
              <w:rPr>
                <w:sz w:val="17"/>
              </w:rPr>
              <w:t>SDG 3</w:t>
            </w:r>
          </w:p>
        </w:tc>
        <w:tc>
          <w:tcPr>
            <w:tcW w:type="dxa" w:w="4752"/>
          </w:tcPr>
          <w:p>
            <w:r/>
            <w:r>
              <w:rPr>
                <w:sz w:val="17"/>
              </w:rPr>
              <w:t>Workforce and community health in SA mining</w:t>
            </w:r>
          </w:p>
        </w:tc>
      </w:tr>
      <w:tr>
        <w:tc>
          <w:tcPr>
            <w:tcW w:type="dxa" w:w="3168"/>
          </w:tcPr>
          <w:p>
            <w:r/>
            <w:r>
              <w:rPr>
                <w:sz w:val="17"/>
              </w:rPr>
              <w:t>Local employment</w:t>
            </w:r>
          </w:p>
        </w:tc>
        <w:tc>
          <w:tcPr>
            <w:tcW w:type="dxa" w:w="2160"/>
          </w:tcPr>
          <w:p>
            <w:r/>
            <w:r>
              <w:rPr>
                <w:sz w:val="17"/>
              </w:rPr>
              <w:t>SDG 8, SDG 1</w:t>
            </w:r>
          </w:p>
        </w:tc>
        <w:tc>
          <w:tcPr>
            <w:tcW w:type="dxa" w:w="4752"/>
          </w:tcPr>
          <w:p>
            <w:r/>
            <w:r>
              <w:rPr>
                <w:sz w:val="17"/>
              </w:rPr>
              <w:t>Mitigates the community-unrest / riot risk</w:t>
            </w:r>
          </w:p>
        </w:tc>
      </w:tr>
      <w:tr>
        <w:tc>
          <w:tcPr>
            <w:tcW w:type="dxa" w:w="3168"/>
          </w:tcPr>
          <w:p>
            <w:r/>
            <w:r>
              <w:rPr>
                <w:sz w:val="17"/>
              </w:rPr>
              <w:t>Diversity (women)</w:t>
            </w:r>
          </w:p>
        </w:tc>
        <w:tc>
          <w:tcPr>
            <w:tcW w:type="dxa" w:w="2160"/>
          </w:tcPr>
          <w:p>
            <w:r/>
            <w:r>
              <w:rPr>
                <w:sz w:val="17"/>
              </w:rPr>
              <w:t>SDG 5</w:t>
            </w:r>
          </w:p>
        </w:tc>
        <w:tc>
          <w:tcPr>
            <w:tcW w:type="dxa" w:w="4752"/>
          </w:tcPr>
          <w:p>
            <w:r/>
            <w:r>
              <w:rPr>
                <w:sz w:val="17"/>
              </w:rPr>
              <w:t>Board and workforce diversity under King IV</w:t>
            </w:r>
          </w:p>
        </w:tc>
      </w:tr>
      <w:tr>
        <w:tc>
          <w:tcPr>
            <w:tcW w:type="dxa" w:w="3168"/>
          </w:tcPr>
          <w:p>
            <w:r/>
            <w:r>
              <w:rPr>
                <w:sz w:val="17"/>
              </w:rPr>
              <w:t>Community investment (CSI/ESD)</w:t>
            </w:r>
          </w:p>
        </w:tc>
        <w:tc>
          <w:tcPr>
            <w:tcW w:type="dxa" w:w="2160"/>
          </w:tcPr>
          <w:p>
            <w:r/>
            <w:r>
              <w:rPr>
                <w:sz w:val="17"/>
              </w:rPr>
              <w:t>SDG 8, SDG 11, SDG 17</w:t>
            </w:r>
          </w:p>
        </w:tc>
        <w:tc>
          <w:tcPr>
            <w:tcW w:type="dxa" w:w="4752"/>
          </w:tcPr>
          <w:p>
            <w:r/>
            <w:r>
              <w:rPr>
                <w:sz w:val="17"/>
              </w:rPr>
              <w:t>Builds the social licence to operate</w:t>
            </w:r>
          </w:p>
        </w:tc>
      </w:tr>
      <w:tr>
        <w:tc>
          <w:tcPr>
            <w:tcW w:type="dxa" w:w="3168"/>
          </w:tcPr>
          <w:p>
            <w:r/>
            <w:r>
              <w:rPr>
                <w:sz w:val="17"/>
              </w:rPr>
              <w:t>Ethical sourcing (Kimberley Process)</w:t>
            </w:r>
          </w:p>
        </w:tc>
        <w:tc>
          <w:tcPr>
            <w:tcW w:type="dxa" w:w="2160"/>
          </w:tcPr>
          <w:p>
            <w:r/>
            <w:r>
              <w:rPr>
                <w:sz w:val="17"/>
              </w:rPr>
              <w:t>SDG 12, SDG 16</w:t>
            </w:r>
          </w:p>
        </w:tc>
        <w:tc>
          <w:tcPr>
            <w:tcW w:type="dxa" w:w="4752"/>
          </w:tcPr>
          <w:p>
            <w:r/>
            <w:r>
              <w:rPr>
                <w:sz w:val="17"/>
              </w:rPr>
              <w:t>Diamante’s traceability and no-mixing controls are central</w:t>
            </w:r>
          </w:p>
        </w:tc>
      </w:tr>
    </w:tbl>
    <w:p>
      <w:pPr>
        <w:spacing w:before="200" w:after="60"/>
        <w:shd w:val="clear" w:fill="1f5b3a"/>
      </w:pPr>
      <w:r>
        <w:rPr>
          <w:b/>
          <w:color w:val="FFFFFF"/>
          <w:sz w:val="25"/>
        </w:rPr>
        <w:t>PILLAR 1 — PLANET (ENVIRONMENT)</w:t>
      </w:r>
    </w:p>
    <w:p>
      <w:pPr>
        <w:spacing w:before="140" w:after="20"/>
      </w:pPr>
      <w:r>
        <w:rPr>
          <w:b/>
          <w:color w:val="1F3D6B"/>
          <w:sz w:val="22"/>
        </w:rPr>
        <w:t>1. Greenhouse gas emissions (Scope 1 &amp; 2)</w:t>
      </w:r>
    </w:p>
    <w:tbl>
      <w:tblPr>
        <w:tblStyle w:val="TableGrid"/>
        <w:tblW w:type="auto" w:w="0"/>
        <w:tblLook w:firstColumn="1" w:firstRow="1" w:lastColumn="0" w:lastRow="0" w:noHBand="0" w:noVBand="1" w:val="04A0"/>
      </w:tblPr>
      <w:tblGrid>
        <w:gridCol w:w="10656"/>
      </w:tblGrid>
      <w:tr>
        <w:tc>
          <w:tcPr>
            <w:tcW w:type="dxa" w:w="10656"/>
            <w:shd w:val="clear" w:fill="eaf3ee"/>
          </w:tcPr>
          <w:p>
            <w:r/>
            <w:r>
              <w:rPr>
                <w:b/>
                <w:sz w:val="19"/>
              </w:rPr>
              <w:t xml:space="preserve">Formula:  </w:t>
            </w:r>
            <w:r>
              <w:rPr>
                <w:sz w:val="19"/>
              </w:rPr>
              <w:t>Total = Scope 1 + Scope 2 (tonnes CO2e);  Reduction % = (baseline − current) ÷ baseline;  Intensity = tonnes CO2e ÷ carats</w:t>
            </w:r>
          </w:p>
          <w:p>
            <w:r>
              <w:rPr>
                <w:b/>
                <w:sz w:val="19"/>
              </w:rPr>
              <w:t xml:space="preserve">Inputs:  </w:t>
            </w:r>
            <w:r>
              <w:rPr>
                <w:sz w:val="19"/>
              </w:rPr>
              <w:t>Scope 1 (direct) emissions; Scope 2 (purchased electricity) emissions; the baseline year; carats produced</w:t>
            </w:r>
          </w:p>
        </w:tc>
      </w:tr>
    </w:tbl>
    <w:p>
      <w:pPr>
        <w:spacing w:after="40"/>
        <w:ind w:left="144"/>
      </w:pPr>
      <w:r>
        <w:rPr>
          <w:b/>
          <w:sz w:val="19"/>
        </w:rPr>
        <w:t xml:space="preserve">Easy example:  </w:t>
      </w:r>
      <w:r>
        <w:rPr>
          <w:sz w:val="19"/>
        </w:rPr>
        <w:t>Imagine the mine gave off 100 tonnes of carbon in 2019. A 35–40% cut means getting down to about 60–65 tonnes by 2030 — which is exactly Diamante’s goal.</w:t>
      </w:r>
    </w:p>
    <w:p>
      <w:pPr>
        <w:spacing w:after="40"/>
        <w:ind w:left="144"/>
      </w:pPr>
      <w:r>
        <w:rPr>
          <w:b/>
          <w:sz w:val="19"/>
        </w:rPr>
        <w:t xml:space="preserve">What the output tells us:  </w:t>
      </w:r>
      <w:r>
        <w:rPr>
          <w:sz w:val="19"/>
        </w:rPr>
        <w:t>The company’s carbon footprint and whether it is on track to its reduction target; a falling figure is better.</w:t>
      </w:r>
    </w:p>
    <w:p>
      <w:pPr>
        <w:spacing w:after="40"/>
        <w:ind w:left="144"/>
      </w:pPr>
      <w:r>
        <w:rPr>
          <w:b/>
          <w:sz w:val="19"/>
        </w:rPr>
        <w:t xml:space="preserve">SDG link &amp; relevance to Diamante:  </w:t>
      </w:r>
      <w:r>
        <w:rPr>
          <w:color w:val="1F5B3A"/>
          <w:sz w:val="19"/>
        </w:rPr>
        <w:t>SDG 13 (Climate Action) and SDG 7 (Affordable &amp; Clean Energy). Diamante has an identical 35–40% Scope 1 &amp; 2 roadmap, so this is a direct, ready-made KPI it should reward instead of a reporting award.</w:t>
      </w:r>
    </w:p>
    <w:p>
      <w:pPr>
        <w:spacing w:after="40"/>
        <w:ind w:left="144"/>
      </w:pPr>
      <w:r>
        <w:rPr>
          <w:b/>
          <w:sz w:val="19"/>
        </w:rPr>
        <w:t xml:space="preserve">How to apply it in an APC discussion:  </w:t>
      </w:r>
      <w:r>
        <w:rPr>
          <w:sz w:val="19"/>
        </w:rPr>
        <w:t>Use it to discuss transition risk (carbon tax and insurance costs), potential stranded assets, and to recommend an emissions-versus-roadmap KPI in the incentive scheme.</w:t>
      </w:r>
    </w:p>
    <w:p>
      <w:pPr>
        <w:spacing w:before="140" w:after="20"/>
      </w:pPr>
      <w:r>
        <w:rPr>
          <w:b/>
          <w:color w:val="1F3D6B"/>
          <w:sz w:val="22"/>
        </w:rPr>
        <w:t>2. Energy consumption &amp; renewable share</w:t>
      </w:r>
    </w:p>
    <w:tbl>
      <w:tblPr>
        <w:tblStyle w:val="TableGrid"/>
        <w:tblW w:type="auto" w:w="0"/>
        <w:tblLook w:firstColumn="1" w:firstRow="1" w:lastColumn="0" w:lastRow="0" w:noHBand="0" w:noVBand="1" w:val="04A0"/>
      </w:tblPr>
      <w:tblGrid>
        <w:gridCol w:w="10656"/>
      </w:tblGrid>
      <w:tr>
        <w:tc>
          <w:tcPr>
            <w:tcW w:type="dxa" w:w="10656"/>
            <w:shd w:val="clear" w:fill="eaf3ee"/>
          </w:tcPr>
          <w:p>
            <w:r/>
            <w:r>
              <w:rPr>
                <w:b/>
                <w:sz w:val="19"/>
              </w:rPr>
              <w:t xml:space="preserve">Formula:  </w:t>
            </w:r>
            <w:r>
              <w:rPr>
                <w:sz w:val="19"/>
              </w:rPr>
              <w:t>Renewable % = renewable energy ÷ total energy;  Energy intensity = total energy ÷ carats (or tonnes)</w:t>
            </w:r>
          </w:p>
          <w:p>
            <w:r>
              <w:rPr>
                <w:b/>
                <w:sz w:val="19"/>
              </w:rPr>
              <w:t xml:space="preserve">Inputs:  </w:t>
            </w:r>
            <w:r>
              <w:rPr>
                <w:sz w:val="19"/>
              </w:rPr>
              <w:t>Renewable energy generated/bought; total energy used; carats or tonnes</w:t>
            </w:r>
          </w:p>
        </w:tc>
      </w:tr>
    </w:tbl>
    <w:p>
      <w:pPr>
        <w:spacing w:after="40"/>
        <w:ind w:left="144"/>
      </w:pPr>
      <w:r>
        <w:rPr>
          <w:b/>
          <w:sz w:val="19"/>
        </w:rPr>
        <w:t xml:space="preserve">Easy example:  </w:t>
      </w:r>
      <w:r>
        <w:rPr>
          <w:sz w:val="19"/>
        </w:rPr>
        <w:t>If 2 out of every 10 units of electricity come from solar, that is 20% renewable.</w:t>
      </w:r>
    </w:p>
    <w:p>
      <w:pPr>
        <w:spacing w:after="40"/>
        <w:ind w:left="144"/>
      </w:pPr>
      <w:r>
        <w:rPr>
          <w:b/>
          <w:sz w:val="19"/>
        </w:rPr>
        <w:t xml:space="preserve">What the output tells us:  </w:t>
      </w:r>
      <w:r>
        <w:rPr>
          <w:sz w:val="19"/>
        </w:rPr>
        <w:t>How reliant the company is on fossil fuels; a higher renewable share cuts both cost and carbon.</w:t>
      </w:r>
    </w:p>
    <w:p>
      <w:pPr>
        <w:spacing w:after="40"/>
        <w:ind w:left="144"/>
      </w:pPr>
      <w:r>
        <w:rPr>
          <w:b/>
          <w:sz w:val="19"/>
        </w:rPr>
        <w:t xml:space="preserve">SDG link &amp; relevance to Diamante:  </w:t>
      </w:r>
      <w:r>
        <w:rPr>
          <w:color w:val="1F5B3A"/>
          <w:sz w:val="19"/>
        </w:rPr>
        <w:t>SDG 7 (Affordable &amp; Clean Energy) and SDG 13. For Diamante, reducing reliance on Eskom (for example with solar) would cut both energy cost and emissions, linking an ESG measure directly to a cost KPI.</w:t>
      </w:r>
    </w:p>
    <w:p>
      <w:pPr>
        <w:spacing w:after="40"/>
        <w:ind w:left="144"/>
      </w:pPr>
      <w:r>
        <w:rPr>
          <w:b/>
          <w:sz w:val="19"/>
        </w:rPr>
        <w:t xml:space="preserve">How to apply it in an APC discussion:  </w:t>
      </w:r>
      <w:r>
        <w:rPr>
          <w:sz w:val="19"/>
        </w:rPr>
        <w:t>Use it to show that energy is both a cost lever and a climate lever, and to argue that a cost-per-carat KPI and an energy KPI should work together.</w:t>
      </w:r>
    </w:p>
    <w:p>
      <w:pPr>
        <w:spacing w:before="140" w:after="20"/>
      </w:pPr>
      <w:r>
        <w:rPr>
          <w:b/>
          <w:color w:val="1F3D6B"/>
          <w:sz w:val="22"/>
        </w:rPr>
        <w:t>3. Water use &amp; recycling</w:t>
      </w:r>
    </w:p>
    <w:tbl>
      <w:tblPr>
        <w:tblStyle w:val="TableGrid"/>
        <w:tblW w:type="auto" w:w="0"/>
        <w:tblLook w:firstColumn="1" w:firstRow="1" w:lastColumn="0" w:lastRow="0" w:noHBand="0" w:noVBand="1" w:val="04A0"/>
      </w:tblPr>
      <w:tblGrid>
        <w:gridCol w:w="10656"/>
      </w:tblGrid>
      <w:tr>
        <w:tc>
          <w:tcPr>
            <w:tcW w:type="dxa" w:w="10656"/>
            <w:shd w:val="clear" w:fill="eaf3ee"/>
          </w:tcPr>
          <w:p>
            <w:r/>
            <w:r>
              <w:rPr>
                <w:b/>
                <w:sz w:val="19"/>
              </w:rPr>
              <w:t xml:space="preserve">Formula:  </w:t>
            </w:r>
            <w:r>
              <w:rPr>
                <w:sz w:val="19"/>
              </w:rPr>
              <w:t>Recycled % = recycled/re-used water ÷ total water used;  Water intensity = water used ÷ carats (or tonnes)</w:t>
            </w:r>
          </w:p>
          <w:p>
            <w:r>
              <w:rPr>
                <w:b/>
                <w:sz w:val="19"/>
              </w:rPr>
              <w:t xml:space="preserve">Inputs:  </w:t>
            </w:r>
            <w:r>
              <w:rPr>
                <w:sz w:val="19"/>
              </w:rPr>
              <w:t>Recycled/re-used water volume; total water withdrawn/used; carats or tonnes</w:t>
            </w:r>
          </w:p>
        </w:tc>
      </w:tr>
    </w:tbl>
    <w:p>
      <w:pPr>
        <w:spacing w:after="40"/>
        <w:ind w:left="144"/>
      </w:pPr>
      <w:r>
        <w:rPr>
          <w:b/>
          <w:sz w:val="19"/>
        </w:rPr>
        <w:t xml:space="preserve">Easy example:  </w:t>
      </w:r>
      <w:r>
        <w:rPr>
          <w:sz w:val="19"/>
        </w:rPr>
        <w:t>If a mine uses 10 buckets of water and reuses 8 of them, it has recycled 80%.</w:t>
      </w:r>
    </w:p>
    <w:p>
      <w:pPr>
        <w:spacing w:after="40"/>
        <w:ind w:left="144"/>
      </w:pPr>
      <w:r>
        <w:rPr>
          <w:b/>
          <w:sz w:val="19"/>
        </w:rPr>
        <w:t xml:space="preserve">What the output tells us:  </w:t>
      </w:r>
      <w:r>
        <w:rPr>
          <w:sz w:val="19"/>
        </w:rPr>
        <w:t>How efficiently water is used and reused; in water-scarce areas a higher recycled share is critical.</w:t>
      </w:r>
    </w:p>
    <w:p>
      <w:pPr>
        <w:spacing w:after="40"/>
        <w:ind w:left="144"/>
      </w:pPr>
      <w:r>
        <w:rPr>
          <w:b/>
          <w:sz w:val="19"/>
        </w:rPr>
        <w:t xml:space="preserve">SDG link &amp; relevance to Diamante:  </w:t>
      </w:r>
      <w:r>
        <w:rPr>
          <w:color w:val="1F5B3A"/>
          <w:sz w:val="19"/>
        </w:rPr>
        <w:t>SDG 6 (Clean Water &amp; Sanitation). This is highly relevant to Diamante, because it operates in water-scarce South Africa, mining is water-intensive, and "restricted access to water" is one of its stated key risks.</w:t>
      </w:r>
    </w:p>
    <w:p>
      <w:pPr>
        <w:spacing w:after="40"/>
        <w:ind w:left="144"/>
      </w:pPr>
      <w:r>
        <w:rPr>
          <w:b/>
          <w:sz w:val="19"/>
        </w:rPr>
        <w:t xml:space="preserve">How to apply it in an APC discussion:  </w:t>
      </w:r>
      <w:r>
        <w:rPr>
          <w:sz w:val="19"/>
        </w:rPr>
        <w:t>Use it to link an operational risk (a water restriction could stop production) to a community/SDG issue, and to recommend a water-efficiency KPI.</w:t>
      </w:r>
    </w:p>
    <w:p>
      <w:pPr>
        <w:spacing w:before="140" w:after="20"/>
      </w:pPr>
      <w:r>
        <w:rPr>
          <w:b/>
          <w:color w:val="1F3D6B"/>
          <w:sz w:val="22"/>
        </w:rPr>
        <w:t>4. Rehabilitation, tailings &amp; biodiversity</w:t>
      </w:r>
    </w:p>
    <w:tbl>
      <w:tblPr>
        <w:tblStyle w:val="TableGrid"/>
        <w:tblW w:type="auto" w:w="0"/>
        <w:tblLook w:firstColumn="1" w:firstRow="1" w:lastColumn="0" w:lastRow="0" w:noHBand="0" w:noVBand="1" w:val="04A0"/>
      </w:tblPr>
      <w:tblGrid>
        <w:gridCol w:w="10656"/>
      </w:tblGrid>
      <w:tr>
        <w:tc>
          <w:tcPr>
            <w:tcW w:type="dxa" w:w="10656"/>
            <w:shd w:val="clear" w:fill="eaf3ee"/>
          </w:tcPr>
          <w:p>
            <w:r/>
            <w:r>
              <w:rPr>
                <w:b/>
                <w:sz w:val="19"/>
              </w:rPr>
              <w:t xml:space="preserve">Formula:  </w:t>
            </w:r>
            <w:r>
              <w:rPr>
                <w:sz w:val="19"/>
              </w:rPr>
              <w:t>Land rehabilitated % = rehabilitated area ÷ disturbed area;  Provision adequacy = closure provision ÷ estimated closure cost;  Tailings = compliance / incidents</w:t>
            </w:r>
          </w:p>
          <w:p>
            <w:r>
              <w:rPr>
                <w:b/>
                <w:sz w:val="19"/>
              </w:rPr>
              <w:t xml:space="preserve">Inputs:  </w:t>
            </w:r>
            <w:r>
              <w:rPr>
                <w:sz w:val="19"/>
              </w:rPr>
              <w:t>Disturbed and rehabilitated land; estimated closure cost; the rehabilitation provision; tailings audit results</w:t>
            </w:r>
          </w:p>
        </w:tc>
      </w:tr>
    </w:tbl>
    <w:p>
      <w:pPr>
        <w:spacing w:after="40"/>
        <w:ind w:left="144"/>
      </w:pPr>
      <w:r>
        <w:rPr>
          <w:b/>
          <w:sz w:val="19"/>
        </w:rPr>
        <w:t xml:space="preserve">Easy example:  </w:t>
      </w:r>
      <w:r>
        <w:rPr>
          <w:sz w:val="19"/>
        </w:rPr>
        <w:t>If the mine dug up 10 fields of land and has replanted 6 of them, it has rehabilitated 60%.</w:t>
      </w:r>
    </w:p>
    <w:p>
      <w:pPr>
        <w:spacing w:after="40"/>
        <w:ind w:left="144"/>
      </w:pPr>
      <w:r>
        <w:rPr>
          <w:b/>
          <w:sz w:val="19"/>
        </w:rPr>
        <w:t xml:space="preserve">What the output tells us:  </w:t>
      </w:r>
      <w:r>
        <w:rPr>
          <w:sz w:val="19"/>
        </w:rPr>
        <w:t>Whether the company is restoring land and managing tailings safely; it also supports the rehabilitation provision.</w:t>
      </w:r>
    </w:p>
    <w:p>
      <w:pPr>
        <w:spacing w:after="40"/>
        <w:ind w:left="144"/>
      </w:pPr>
      <w:r>
        <w:rPr>
          <w:b/>
          <w:sz w:val="19"/>
        </w:rPr>
        <w:t xml:space="preserve">SDG link &amp; relevance to Diamante:  </w:t>
      </w:r>
      <w:r>
        <w:rPr>
          <w:color w:val="1F5B3A"/>
          <w:sz w:val="19"/>
        </w:rPr>
        <w:t>SDG 15 (Life on Land), SDG 6 and SDG 11 (Sustainable Communities). Diamante carries rehabilitation provisions of about R621m, and tailings failure is a stated environmental risk, so this KPI is directly relevant.</w:t>
      </w:r>
    </w:p>
    <w:p>
      <w:pPr>
        <w:spacing w:after="40"/>
        <w:ind w:left="144"/>
      </w:pPr>
      <w:r>
        <w:rPr>
          <w:b/>
          <w:sz w:val="19"/>
        </w:rPr>
        <w:t xml:space="preserve">How to apply it in an APC discussion:  </w:t>
      </w:r>
      <w:r>
        <w:rPr>
          <w:sz w:val="19"/>
        </w:rPr>
        <w:t>Use it to connect ESG to the financial statements through the IAS 37 rehabilitation provision, and to environmental fines, stoppages and going concern.</w:t>
      </w:r>
    </w:p>
    <w:p>
      <w:pPr>
        <w:spacing w:before="200" w:after="60"/>
        <w:shd w:val="clear" w:fill="1f5b3a"/>
      </w:pPr>
      <w:r>
        <w:rPr>
          <w:b/>
          <w:color w:val="FFFFFF"/>
          <w:sz w:val="25"/>
        </w:rPr>
        <w:t>PILLAR 2 — PEOPLE (SOCIAL)</w:t>
      </w:r>
    </w:p>
    <w:p>
      <w:pPr>
        <w:spacing w:before="140" w:after="20"/>
      </w:pPr>
      <w:r>
        <w:rPr>
          <w:b/>
          <w:color w:val="1F3D6B"/>
          <w:sz w:val="22"/>
        </w:rPr>
        <w:t>5. Safety (Lost-Time Injury Frequency Rate)</w:t>
      </w:r>
    </w:p>
    <w:tbl>
      <w:tblPr>
        <w:tblStyle w:val="TableGrid"/>
        <w:tblW w:type="auto" w:w="0"/>
        <w:tblLook w:firstColumn="1" w:firstRow="1" w:lastColumn="0" w:lastRow="0" w:noHBand="0" w:noVBand="1" w:val="04A0"/>
      </w:tblPr>
      <w:tblGrid>
        <w:gridCol w:w="10656"/>
      </w:tblGrid>
      <w:tr>
        <w:tc>
          <w:tcPr>
            <w:tcW w:type="dxa" w:w="10656"/>
            <w:shd w:val="clear" w:fill="eaf3ee"/>
          </w:tcPr>
          <w:p>
            <w:r/>
            <w:r>
              <w:rPr>
                <w:b/>
                <w:sz w:val="19"/>
              </w:rPr>
              <w:t xml:space="preserve">Formula:  </w:t>
            </w:r>
            <w:r>
              <w:rPr>
                <w:sz w:val="19"/>
              </w:rPr>
              <w:t>LTIFR = lost-time injuries × 1 000 000 ÷ total hours worked  (TRIFR uses all recordable injuries)</w:t>
            </w:r>
          </w:p>
          <w:p>
            <w:r>
              <w:rPr>
                <w:b/>
                <w:sz w:val="19"/>
              </w:rPr>
              <w:t xml:space="preserve">Inputs:  </w:t>
            </w:r>
            <w:r>
              <w:rPr>
                <w:sz w:val="19"/>
              </w:rPr>
              <w:t>Number of lost-time injuries; total hours worked</w:t>
            </w:r>
          </w:p>
        </w:tc>
      </w:tr>
    </w:tbl>
    <w:p>
      <w:pPr>
        <w:spacing w:after="40"/>
        <w:ind w:left="144"/>
      </w:pPr>
      <w:r>
        <w:rPr>
          <w:b/>
          <w:sz w:val="19"/>
        </w:rPr>
        <w:t xml:space="preserve">Easy example:  </w:t>
      </w:r>
      <w:r>
        <w:rPr>
          <w:sz w:val="19"/>
        </w:rPr>
        <w:t>If workers put in 1 000 000 hours and there were 2 lost-time injuries, the LTIFR is 2. Petra’s is 0.28, which is roughly one injury for every 3.5 million hours worked.</w:t>
      </w:r>
    </w:p>
    <w:p>
      <w:pPr>
        <w:spacing w:after="40"/>
        <w:ind w:left="144"/>
      </w:pPr>
      <w:r>
        <w:rPr>
          <w:b/>
          <w:sz w:val="19"/>
        </w:rPr>
        <w:t xml:space="preserve">What the output tells us:  </w:t>
      </w:r>
      <w:r>
        <w:rPr>
          <w:sz w:val="19"/>
        </w:rPr>
        <w:t>The injury rate per million hours worked; lower is better and a rising rate is a serious red flag.</w:t>
      </w:r>
    </w:p>
    <w:p>
      <w:pPr>
        <w:spacing w:after="40"/>
        <w:ind w:left="144"/>
      </w:pPr>
      <w:r>
        <w:rPr>
          <w:b/>
          <w:sz w:val="19"/>
        </w:rPr>
        <w:t xml:space="preserve">SDG link &amp; relevance to Diamante:  </w:t>
      </w:r>
      <w:r>
        <w:rPr>
          <w:color w:val="1F5B3A"/>
          <w:sz w:val="19"/>
        </w:rPr>
        <w:t>SDG 3 (Good Health &amp; Well-being) and SDG 8 (Decent Work). Diamante does deep-level South African mining, has no safety KPI, and its cost KPI could reward cutting safety spend, so this is a critical gap.</w:t>
      </w:r>
    </w:p>
    <w:p>
      <w:pPr>
        <w:spacing w:after="40"/>
        <w:ind w:left="144"/>
      </w:pPr>
      <w:r>
        <w:rPr>
          <w:b/>
          <w:sz w:val="19"/>
        </w:rPr>
        <w:t xml:space="preserve">How to apply it in an APC discussion:  </w:t>
      </w:r>
      <w:r>
        <w:rPr>
          <w:sz w:val="19"/>
        </w:rPr>
        <w:t>Use it as a licence-to-operate and going-concern risk (a fatality can stop a mine), and recommend adding LTIFR to the incentive scheme.</w:t>
      </w:r>
    </w:p>
    <w:p>
      <w:pPr>
        <w:spacing w:before="140" w:after="20"/>
      </w:pPr>
      <w:r>
        <w:rPr>
          <w:b/>
          <w:color w:val="1F3D6B"/>
          <w:sz w:val="22"/>
        </w:rPr>
        <w:t>6. Health &amp; well-being</w:t>
      </w:r>
    </w:p>
    <w:tbl>
      <w:tblPr>
        <w:tblStyle w:val="TableGrid"/>
        <w:tblW w:type="auto" w:w="0"/>
        <w:tblLook w:firstColumn="1" w:firstRow="1" w:lastColumn="0" w:lastRow="0" w:noHBand="0" w:noVBand="1" w:val="04A0"/>
      </w:tblPr>
      <w:tblGrid>
        <w:gridCol w:w="10656"/>
      </w:tblGrid>
      <w:tr>
        <w:tc>
          <w:tcPr>
            <w:tcW w:type="dxa" w:w="10656"/>
            <w:shd w:val="clear" w:fill="eaf3ee"/>
          </w:tcPr>
          <w:p>
            <w:r/>
            <w:r>
              <w:rPr>
                <w:b/>
                <w:sz w:val="19"/>
              </w:rPr>
              <w:t xml:space="preserve">Formula:  </w:t>
            </w:r>
            <w:r>
              <w:rPr>
                <w:sz w:val="19"/>
              </w:rPr>
              <w:t>Coverage % = employees covered by health programmes ÷ total workforce  (also health-incident rates)</w:t>
            </w:r>
          </w:p>
          <w:p>
            <w:r>
              <w:rPr>
                <w:b/>
                <w:sz w:val="19"/>
              </w:rPr>
              <w:t xml:space="preserve">Inputs:  </w:t>
            </w:r>
            <w:r>
              <w:rPr>
                <w:sz w:val="19"/>
              </w:rPr>
              <w:t>Number of employees screened/covered; total workforce</w:t>
            </w:r>
          </w:p>
        </w:tc>
      </w:tr>
    </w:tbl>
    <w:p>
      <w:pPr>
        <w:spacing w:after="40"/>
        <w:ind w:left="144"/>
      </w:pPr>
      <w:r>
        <w:rPr>
          <w:b/>
          <w:sz w:val="19"/>
        </w:rPr>
        <w:t xml:space="preserve">Easy example:  </w:t>
      </w:r>
      <w:r>
        <w:rPr>
          <w:sz w:val="19"/>
        </w:rPr>
        <w:t>If 9 out of every 10 employees have been screened for HIV and TB, coverage is 90%.</w:t>
      </w:r>
    </w:p>
    <w:p>
      <w:pPr>
        <w:spacing w:after="40"/>
        <w:ind w:left="144"/>
      </w:pPr>
      <w:r>
        <w:rPr>
          <w:b/>
          <w:sz w:val="19"/>
        </w:rPr>
        <w:t xml:space="preserve">What the output tells us:  </w:t>
      </w:r>
      <w:r>
        <w:rPr>
          <w:sz w:val="19"/>
        </w:rPr>
        <w:t>The health of the workforce, which supports productivity and the social licence to operate.</w:t>
      </w:r>
    </w:p>
    <w:p>
      <w:pPr>
        <w:spacing w:after="40"/>
        <w:ind w:left="144"/>
      </w:pPr>
      <w:r>
        <w:rPr>
          <w:b/>
          <w:sz w:val="19"/>
        </w:rPr>
        <w:t xml:space="preserve">SDG link &amp; relevance to Diamante:  </w:t>
      </w:r>
      <w:r>
        <w:rPr>
          <w:color w:val="1F5B3A"/>
          <w:sz w:val="19"/>
        </w:rPr>
        <w:t>SDG 3 (Good Health &amp; Well-being). For Diamante, workforce and host-community health (given HIV and TB prevalence in South Africa) protects both people and production.</w:t>
      </w:r>
    </w:p>
    <w:p>
      <w:pPr>
        <w:spacing w:after="40"/>
        <w:ind w:left="144"/>
      </w:pPr>
      <w:r>
        <w:rPr>
          <w:b/>
          <w:sz w:val="19"/>
        </w:rPr>
        <w:t xml:space="preserve">How to apply it in an APC discussion:  </w:t>
      </w:r>
      <w:r>
        <w:rPr>
          <w:sz w:val="19"/>
        </w:rPr>
        <w:t>Use it under the human and social capitals in an integrated-thinking answer, and link community health programmes to reduced community tension.</w:t>
      </w:r>
    </w:p>
    <w:p>
      <w:pPr>
        <w:spacing w:before="140" w:after="20"/>
      </w:pPr>
      <w:r>
        <w:rPr>
          <w:b/>
          <w:color w:val="1F3D6B"/>
          <w:sz w:val="22"/>
        </w:rPr>
        <w:t>7. Local employment &amp; economic contribution</w:t>
      </w:r>
    </w:p>
    <w:tbl>
      <w:tblPr>
        <w:tblStyle w:val="TableGrid"/>
        <w:tblW w:type="auto" w:w="0"/>
        <w:tblLook w:firstColumn="1" w:firstRow="1" w:lastColumn="0" w:lastRow="0" w:noHBand="0" w:noVBand="1" w:val="04A0"/>
      </w:tblPr>
      <w:tblGrid>
        <w:gridCol w:w="10656"/>
      </w:tblGrid>
      <w:tr>
        <w:tc>
          <w:tcPr>
            <w:tcW w:type="dxa" w:w="10656"/>
            <w:shd w:val="clear" w:fill="eaf3ee"/>
          </w:tcPr>
          <w:p>
            <w:r/>
            <w:r>
              <w:rPr>
                <w:b/>
                <w:sz w:val="19"/>
              </w:rPr>
              <w:t xml:space="preserve">Formula:  </w:t>
            </w:r>
            <w:r>
              <w:rPr>
                <w:sz w:val="19"/>
              </w:rPr>
              <w:t>Local employment % = host-community employees ÷ total employees;  Local procurement % = local spend ÷ total procurement</w:t>
            </w:r>
          </w:p>
          <w:p>
            <w:r>
              <w:rPr>
                <w:b/>
                <w:sz w:val="19"/>
              </w:rPr>
              <w:t xml:space="preserve">Inputs:  </w:t>
            </w:r>
            <w:r>
              <w:rPr>
                <w:sz w:val="19"/>
              </w:rPr>
              <w:t>Host-community employees and local spend; total employees and total procurement</w:t>
            </w:r>
          </w:p>
        </w:tc>
      </w:tr>
    </w:tbl>
    <w:p>
      <w:pPr>
        <w:spacing w:after="40"/>
        <w:ind w:left="144"/>
      </w:pPr>
      <w:r>
        <w:rPr>
          <w:b/>
          <w:sz w:val="19"/>
        </w:rPr>
        <w:t xml:space="preserve">Easy example:  </w:t>
      </w:r>
      <w:r>
        <w:rPr>
          <w:sz w:val="19"/>
        </w:rPr>
        <w:t>If 8 out of every 10 workers come from the nearby towns, local employment is 80%.</w:t>
      </w:r>
    </w:p>
    <w:p>
      <w:pPr>
        <w:spacing w:after="40"/>
        <w:ind w:left="144"/>
      </w:pPr>
      <w:r>
        <w:rPr>
          <w:b/>
          <w:sz w:val="19"/>
        </w:rPr>
        <w:t xml:space="preserve">What the output tells us:  </w:t>
      </w:r>
      <w:r>
        <w:rPr>
          <w:sz w:val="19"/>
        </w:rPr>
        <w:t>How much economic benefit reaches host communities, which underpins the social licence to operate.</w:t>
      </w:r>
    </w:p>
    <w:p>
      <w:pPr>
        <w:spacing w:after="40"/>
        <w:ind w:left="144"/>
      </w:pPr>
      <w:r>
        <w:rPr>
          <w:b/>
          <w:sz w:val="19"/>
        </w:rPr>
        <w:t xml:space="preserve">SDG link &amp; relevance to Diamante:  </w:t>
      </w:r>
      <w:r>
        <w:rPr>
          <w:color w:val="1F5B3A"/>
          <w:sz w:val="19"/>
        </w:rPr>
        <w:t>SDG 8 (Decent Work &amp; Economic Growth) and SDG 1 (No Poverty). This directly mitigates Diamante’s stated risk of community unrest and riots that affect its ability to deliver.</w:t>
      </w:r>
    </w:p>
    <w:p>
      <w:pPr>
        <w:spacing w:after="40"/>
        <w:ind w:left="144"/>
      </w:pPr>
      <w:r>
        <w:rPr>
          <w:b/>
          <w:sz w:val="19"/>
        </w:rPr>
        <w:t xml:space="preserve">How to apply it in an APC discussion:  </w:t>
      </w:r>
      <w:r>
        <w:rPr>
          <w:sz w:val="19"/>
        </w:rPr>
        <w:t>Use it to show how a social KPI reduces an operational risk, and to argue that community outcomes protect financial value.</w:t>
      </w:r>
    </w:p>
    <w:p>
      <w:pPr>
        <w:spacing w:before="140" w:after="20"/>
      </w:pPr>
      <w:r>
        <w:rPr>
          <w:b/>
          <w:color w:val="1F3D6B"/>
          <w:sz w:val="22"/>
        </w:rPr>
        <w:t>8. Diversity (women in workforce and management)</w:t>
      </w:r>
    </w:p>
    <w:tbl>
      <w:tblPr>
        <w:tblStyle w:val="TableGrid"/>
        <w:tblW w:type="auto" w:w="0"/>
        <w:tblLook w:firstColumn="1" w:firstRow="1" w:lastColumn="0" w:lastRow="0" w:noHBand="0" w:noVBand="1" w:val="04A0"/>
      </w:tblPr>
      <w:tblGrid>
        <w:gridCol w:w="10656"/>
      </w:tblGrid>
      <w:tr>
        <w:tc>
          <w:tcPr>
            <w:tcW w:type="dxa" w:w="10656"/>
            <w:shd w:val="clear" w:fill="eaf3ee"/>
          </w:tcPr>
          <w:p>
            <w:r/>
            <w:r>
              <w:rPr>
                <w:b/>
                <w:sz w:val="19"/>
              </w:rPr>
              <w:t xml:space="preserve">Formula:  </w:t>
            </w:r>
            <w:r>
              <w:rPr>
                <w:sz w:val="19"/>
              </w:rPr>
              <w:t>Women % = number of women ÷ total (measured for the workforce, management and the board separately)</w:t>
            </w:r>
          </w:p>
          <w:p>
            <w:r>
              <w:rPr>
                <w:b/>
                <w:sz w:val="19"/>
              </w:rPr>
              <w:t xml:space="preserve">Inputs:  </w:t>
            </w:r>
            <w:r>
              <w:rPr>
                <w:sz w:val="19"/>
              </w:rPr>
              <w:t>Number of women; total headcount at each level</w:t>
            </w:r>
          </w:p>
        </w:tc>
      </w:tr>
    </w:tbl>
    <w:p>
      <w:pPr>
        <w:spacing w:after="40"/>
        <w:ind w:left="144"/>
      </w:pPr>
      <w:r>
        <w:rPr>
          <w:b/>
          <w:sz w:val="19"/>
        </w:rPr>
        <w:t xml:space="preserve">Easy example:  </w:t>
      </w:r>
      <w:r>
        <w:rPr>
          <w:sz w:val="19"/>
        </w:rPr>
        <w:t>If 15 out of every 100 employees are women, that is 15%.</w:t>
      </w:r>
    </w:p>
    <w:p>
      <w:pPr>
        <w:spacing w:after="40"/>
        <w:ind w:left="144"/>
      </w:pPr>
      <w:r>
        <w:rPr>
          <w:b/>
          <w:sz w:val="19"/>
        </w:rPr>
        <w:t xml:space="preserve">What the output tells us:  </w:t>
      </w:r>
      <w:r>
        <w:rPr>
          <w:sz w:val="19"/>
        </w:rPr>
        <w:t>The level of gender diversity, which is both a social outcome and a governance indicator.</w:t>
      </w:r>
    </w:p>
    <w:p>
      <w:pPr>
        <w:spacing w:after="40"/>
        <w:ind w:left="144"/>
      </w:pPr>
      <w:r>
        <w:rPr>
          <w:b/>
          <w:sz w:val="19"/>
        </w:rPr>
        <w:t xml:space="preserve">SDG link &amp; relevance to Diamante:  </w:t>
      </w:r>
      <w:r>
        <w:rPr>
          <w:color w:val="1F5B3A"/>
          <w:sz w:val="19"/>
        </w:rPr>
        <w:t>SDG 5 (Gender Equality). For Diamante this links to King IV board-composition expectations and to the diversity of its board and management.</w:t>
      </w:r>
    </w:p>
    <w:p>
      <w:pPr>
        <w:spacing w:after="40"/>
        <w:ind w:left="144"/>
      </w:pPr>
      <w:r>
        <w:rPr>
          <w:b/>
          <w:sz w:val="19"/>
        </w:rPr>
        <w:t xml:space="preserve">How to apply it in an APC discussion:  </w:t>
      </w:r>
      <w:r>
        <w:rPr>
          <w:sz w:val="19"/>
        </w:rPr>
        <w:t>Use it under King IV Principle 7 (a diverse, balanced board) and as evidence of good governance in a remuneration and governance discussion.</w:t>
      </w:r>
    </w:p>
    <w:p>
      <w:pPr>
        <w:spacing w:before="200" w:after="60"/>
        <w:shd w:val="clear" w:fill="1f5b3a"/>
      </w:pPr>
      <w:r>
        <w:rPr>
          <w:b/>
          <w:color w:val="FFFFFF"/>
          <w:sz w:val="25"/>
        </w:rPr>
        <w:t>PILLAR 3 — PARTNERSHIPS &amp; GOVERNANCE</w:t>
      </w:r>
    </w:p>
    <w:p>
      <w:pPr>
        <w:spacing w:before="140" w:after="20"/>
      </w:pPr>
      <w:r>
        <w:rPr>
          <w:b/>
          <w:color w:val="1F3D6B"/>
          <w:sz w:val="22"/>
        </w:rPr>
        <w:t>9. Community investment &amp; shared value (CSI / ESD)</w:t>
      </w:r>
    </w:p>
    <w:tbl>
      <w:tblPr>
        <w:tblStyle w:val="TableGrid"/>
        <w:tblW w:type="auto" w:w="0"/>
        <w:tblLook w:firstColumn="1" w:firstRow="1" w:lastColumn="0" w:lastRow="0" w:noHBand="0" w:noVBand="1" w:val="04A0"/>
      </w:tblPr>
      <w:tblGrid>
        <w:gridCol w:w="10656"/>
      </w:tblGrid>
      <w:tr>
        <w:tc>
          <w:tcPr>
            <w:tcW w:type="dxa" w:w="10656"/>
            <w:shd w:val="clear" w:fill="eaf3ee"/>
          </w:tcPr>
          <w:p>
            <w:r/>
            <w:r>
              <w:rPr>
                <w:b/>
                <w:sz w:val="19"/>
              </w:rPr>
              <w:t xml:space="preserve">Formula:  </w:t>
            </w:r>
            <w:r>
              <w:rPr>
                <w:sz w:val="19"/>
              </w:rPr>
              <w:t>CSI spend (Rand), or as a % of pre-tax profit;  Enterprise &amp; supplier development (ESD) spend;  number of beneficiaries</w:t>
            </w:r>
          </w:p>
          <w:p>
            <w:r>
              <w:rPr>
                <w:b/>
                <w:sz w:val="19"/>
              </w:rPr>
              <w:t xml:space="preserve">Inputs:  </w:t>
            </w:r>
            <w:r>
              <w:rPr>
                <w:sz w:val="19"/>
              </w:rPr>
              <w:t>Corporate social investment and ESD spend; pre-tax profit; number of beneficiaries</w:t>
            </w:r>
          </w:p>
        </w:tc>
      </w:tr>
    </w:tbl>
    <w:p>
      <w:pPr>
        <w:spacing w:after="40"/>
        <w:ind w:left="144"/>
      </w:pPr>
      <w:r>
        <w:rPr>
          <w:b/>
          <w:sz w:val="19"/>
        </w:rPr>
        <w:t xml:space="preserve">Easy example:  </w:t>
      </w:r>
      <w:r>
        <w:rPr>
          <w:sz w:val="19"/>
        </w:rPr>
        <w:t>If the company makes R100 of profit and spends R5 helping local communities, that is 5% of its profit.</w:t>
      </w:r>
    </w:p>
    <w:p>
      <w:pPr>
        <w:spacing w:after="40"/>
        <w:ind w:left="144"/>
      </w:pPr>
      <w:r>
        <w:rPr>
          <w:b/>
          <w:sz w:val="19"/>
        </w:rPr>
        <w:t xml:space="preserve">What the output tells us:  </w:t>
      </w:r>
      <w:r>
        <w:rPr>
          <w:sz w:val="19"/>
        </w:rPr>
        <w:t>The investment made in host communities and local suppliers, which builds social and relationship capital.</w:t>
      </w:r>
    </w:p>
    <w:p>
      <w:pPr>
        <w:spacing w:after="40"/>
        <w:ind w:left="144"/>
      </w:pPr>
      <w:r>
        <w:rPr>
          <w:b/>
          <w:sz w:val="19"/>
        </w:rPr>
        <w:t xml:space="preserve">SDG link &amp; relevance to Diamante:  </w:t>
      </w:r>
      <w:r>
        <w:rPr>
          <w:color w:val="1F5B3A"/>
          <w:sz w:val="19"/>
        </w:rPr>
        <w:t>SDG 8, SDG 11 (Sustainable Communities) and SDG 17 (Partnerships). For Diamante this builds the social licence and reduces unrest, though it is harder to fund while loss-making.</w:t>
      </w:r>
    </w:p>
    <w:p>
      <w:pPr>
        <w:spacing w:after="40"/>
        <w:ind w:left="144"/>
      </w:pPr>
      <w:r>
        <w:rPr>
          <w:b/>
          <w:sz w:val="19"/>
        </w:rPr>
        <w:t xml:space="preserve">How to apply it in an APC discussion:  </w:t>
      </w:r>
      <w:r>
        <w:rPr>
          <w:sz w:val="19"/>
        </w:rPr>
        <w:t>Use it under the social and relationship capital, and weigh the tension between spending on communities and preserving cash during the refinancing.</w:t>
      </w:r>
    </w:p>
    <w:p>
      <w:pPr>
        <w:spacing w:before="140" w:after="20"/>
      </w:pPr>
      <w:r>
        <w:rPr>
          <w:b/>
          <w:color w:val="1F3D6B"/>
          <w:sz w:val="22"/>
        </w:rPr>
        <w:t>10. Ethical sourcing (Kimberley Process &amp; human rights)</w:t>
      </w:r>
    </w:p>
    <w:tbl>
      <w:tblPr>
        <w:tblStyle w:val="TableGrid"/>
        <w:tblW w:type="auto" w:w="0"/>
        <w:tblLook w:firstColumn="1" w:firstRow="1" w:lastColumn="0" w:lastRow="0" w:noHBand="0" w:noVBand="1" w:val="04A0"/>
      </w:tblPr>
      <w:tblGrid>
        <w:gridCol w:w="10656"/>
      </w:tblGrid>
      <w:tr>
        <w:tc>
          <w:tcPr>
            <w:tcW w:type="dxa" w:w="10656"/>
            <w:shd w:val="clear" w:fill="eaf3ee"/>
          </w:tcPr>
          <w:p>
            <w:r/>
            <w:r>
              <w:rPr>
                <w:b/>
                <w:sz w:val="19"/>
              </w:rPr>
              <w:t xml:space="preserve">Formula:  </w:t>
            </w:r>
            <w:r>
              <w:rPr>
                <w:sz w:val="19"/>
              </w:rPr>
              <w:t>Certified % = production certified conflict-free (Kimberley Process) ÷ total production;  human-rights incidents (count)</w:t>
            </w:r>
          </w:p>
          <w:p>
            <w:r>
              <w:rPr>
                <w:b/>
                <w:sz w:val="19"/>
              </w:rPr>
              <w:t xml:space="preserve">Inputs:  </w:t>
            </w:r>
            <w:r>
              <w:rPr>
                <w:sz w:val="19"/>
              </w:rPr>
              <w:t>Certified production volume; total production; number of human-rights or compliance incidents</w:t>
            </w:r>
          </w:p>
        </w:tc>
      </w:tr>
    </w:tbl>
    <w:p>
      <w:pPr>
        <w:spacing w:after="40"/>
        <w:ind w:left="144"/>
      </w:pPr>
      <w:r>
        <w:rPr>
          <w:b/>
          <w:sz w:val="19"/>
        </w:rPr>
        <w:t xml:space="preserve">Easy example:  </w:t>
      </w:r>
      <w:r>
        <w:rPr>
          <w:sz w:val="19"/>
        </w:rPr>
        <w:t>If every single diamond sold can be traced and certified conflict-free, the KPI is 100%.</w:t>
      </w:r>
    </w:p>
    <w:p>
      <w:pPr>
        <w:spacing w:after="40"/>
        <w:ind w:left="144"/>
      </w:pPr>
      <w:r>
        <w:rPr>
          <w:b/>
          <w:sz w:val="19"/>
        </w:rPr>
        <w:t xml:space="preserve">What the output tells us:  </w:t>
      </w:r>
      <w:r>
        <w:rPr>
          <w:sz w:val="19"/>
        </w:rPr>
        <w:t>Assurance that the diamonds are ethically sourced and traceable, which protects brand value and market access.</w:t>
      </w:r>
    </w:p>
    <w:p>
      <w:pPr>
        <w:spacing w:after="40"/>
        <w:ind w:left="144"/>
      </w:pPr>
      <w:r>
        <w:rPr>
          <w:b/>
          <w:sz w:val="19"/>
        </w:rPr>
        <w:t xml:space="preserve">SDG link &amp; relevance to Diamante:  </w:t>
      </w:r>
      <w:r>
        <w:rPr>
          <w:color w:val="1F5B3A"/>
          <w:sz w:val="19"/>
        </w:rPr>
        <w:t>SDG 12 (Responsible Consumption &amp; Production) and SDG 16 (Peace, Justice &amp; Strong Institutions). This is central to Diamante, which strictly follows the Kimberley Process, never mixes the production of its two mines, and relies on traceability.</w:t>
      </w:r>
    </w:p>
    <w:p>
      <w:pPr>
        <w:spacing w:after="40"/>
        <w:ind w:left="144"/>
      </w:pPr>
      <w:r>
        <w:rPr>
          <w:b/>
          <w:sz w:val="19"/>
        </w:rPr>
        <w:t xml:space="preserve">How to apply it in an APC discussion:  </w:t>
      </w:r>
      <w:r>
        <w:rPr>
          <w:sz w:val="19"/>
        </w:rPr>
        <w:t>Use it to discuss reputational and market-access risk, the internal controls over traceability, and how customer demand for traceability is a strategic driver.</w:t>
      </w:r>
    </w:p>
    <w:p>
      <w:pPr>
        <w:spacing w:before="180" w:after="40"/>
        <w:pBdr>
          <w:bottom w:val="single" w:sz="6" w:space="2" w:color="808080"/>
        </w:pBdr>
      </w:pPr>
      <w:r>
        <w:rPr>
          <w:b/>
          <w:color w:val="1F3D6B"/>
          <w:sz w:val="26"/>
        </w:rPr>
        <w:t>How Diamante should use this</w:t>
      </w:r>
    </w:p>
    <w:p>
      <w:pPr>
        <w:pStyle w:val="ListBullet"/>
        <w:spacing w:after="40"/>
      </w:pPr>
      <w:r>
        <w:rPr>
          <w:sz w:val="19"/>
        </w:rPr>
        <w:t>Diamante should replace its weak reporting-award KPI (KPI 5) with a small set of these real, SDG-linked sustainability KPIs, such as emissions versus its 2030 roadmap, water recycling, safety (LTIFR) and local employment.</w:t>
      </w:r>
    </w:p>
    <w:p>
      <w:pPr>
        <w:pStyle w:val="ListBullet"/>
        <w:spacing w:after="40"/>
      </w:pPr>
      <w:r>
        <w:rPr>
          <w:sz w:val="19"/>
        </w:rPr>
        <w:t>It should present them in an integrated report that maps each KPI to the SDG it supports, exactly as Petra does, which turns a greenwashing risk into genuine, value-linked reporting.</w:t>
      </w:r>
    </w:p>
    <w:p>
      <w:pPr>
        <w:pStyle w:val="ListBullet"/>
        <w:spacing w:after="40"/>
      </w:pPr>
      <w:r>
        <w:rPr>
          <w:sz w:val="19"/>
        </w:rPr>
        <w:t>Doing so also strengthens the going-concern and licence-to-operate story that Diamante must tell its lenders, shareholders and the communities around its mines.</w:t>
      </w:r>
    </w:p>
    <w:p>
      <w:pPr>
        <w:spacing w:after="80"/>
      </w:pPr>
      <w:r>
        <w:rPr>
          <w:i/>
          <w:sz w:val="17"/>
        </w:rPr>
        <w:t>Petra figures are drawn from Petra Diamonds’ published sustainability disclosures and FY2024/FY2025 results and are approximate; the exact set of SDGs Petra selects and its latest metrics should be confirmed from its current sustainability report. Illustrative examples are labelled as such.</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