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8"/>
        </w:rPr>
        <w:t>Diamante Ltd — Performance Measures: Recommendations, Worked Calculations &amp; Critique of the Document 5 Basis</w:t>
      </w:r>
    </w:p>
    <w:p>
      <w:pPr>
        <w:spacing w:after="80"/>
      </w:pPr>
      <w:r>
        <w:rPr>
          <w:b w:val="0"/>
          <w:i/>
          <w:sz w:val="18"/>
        </w:rPr>
        <w:t>APC 2026 (1st QE) pre-release. Grounded in the IAC MAF performance-evaluation notes (ROI, RI, EVA, balanced scorecard, controllability) and Diamante’s draft FY2026 financials. All figures R millions unless stated.</w:t>
      </w:r>
    </w:p>
    <w:p>
      <w:pPr>
        <w:spacing w:before="22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1. What performance measures should Diamante use — and why?</w:t>
      </w:r>
    </w:p>
    <w:p>
      <w:pPr>
        <w:spacing w:after="80"/>
      </w:pPr>
      <w:r>
        <w:rPr>
          <w:b w:val="0"/>
          <w:i w:val="0"/>
          <w:sz w:val="19"/>
        </w:rPr>
        <w:t>Diamante runs two mines that are separately identifiable investment centres (each is already a CGU for impairment, with its own revenue and impairment). The right measures must therefore (per the MAF goals of performance evaluation): reward cost control and value creation, be FAIR — holding managers only to what they CONTROL (not the US$ diamond price, the exchange rate or impairments), support goal congruence with the group’s survival and value-led strategy, and discourage manipulation.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74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Recommended measure</w:t>
            </w:r>
          </w:p>
        </w:tc>
        <w:tc>
          <w:tcPr>
            <w:tcW w:type="dxa" w:w="48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Why it suits Diamante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Value creation (per mine)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Residual income (RI) and EVA per mine (profit − WACC × net investment)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Superior to a % return — rewards any activity earning above WACC; treats each mine as an investment centre; shows real value added/destroyed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Return / efficiency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ROI per mine (NOPAT ÷ net investment), used with RI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Easy to compare the two mines, but only alongside RI (ROI alone drives asset-stripping — see disadvantages)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Survival / cash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Free cash flow; adjusted EBITDA; net-debt reduction; refinancing milestones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The #1 priority is going concern — reward cash generation and deleveraging, which management controls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Value-led strategy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Cost per carat; realised US$ per carat; grade / recovery %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Directly rewards "quality over quantity" and is measured per mine at the level managers influence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Market-adjusted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Performance vs a diamond-price index / peers (De Beers, Petra)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Strips out the uncontrollable price and currency cycle so pay reflects real performance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Non-financial (Balanced Scorecard)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Safety (TRIFR); tailings &amp; rehabilitation compliance; GHG vs the 35–40% Scope 1&amp;2 roadmap; staff turnover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 miner cannot be judged on financials alone; protects the licence to operate and long-term value</w:t>
            </w:r>
          </w:p>
        </w:tc>
      </w:tr>
    </w:tbl>
    <w:p>
      <w:pPr>
        <w:pStyle w:val="ListBullet"/>
        <w:spacing w:after="60"/>
      </w:pPr>
      <w:r>
        <w:rPr>
          <w:b/>
        </w:rPr>
        <w:t xml:space="preserve">Use a Balanced Scorecard. </w:t>
      </w:r>
      <w:r>
        <w:t>Combine the financial view (RI/EVA, FCF) with the customer/market view (realised US$/carat vs index), the internal-process view (cost per carat, grade recovery, on-time tender delivery) and the learning-&amp;-growth/ESG view (safety, emissions, rehabilitation). This links pay to the whole strategy, not one number.</w:t>
      </w:r>
    </w:p>
    <w:p>
      <w:pPr>
        <w:pStyle w:val="ListBullet"/>
        <w:spacing w:after="60"/>
      </w:pPr>
      <w:r>
        <w:rPr>
          <w:b/>
        </w:rPr>
        <w:t xml:space="preserve">Apply the controllability principle. </w:t>
      </w:r>
      <w:r>
        <w:t>Exclude the diamond price, exchange rate and impairments from the measures managers are paid on, and risk-adjust the WACC used for each mine (Mine 2 is riskier). Head-office/allocated costs are excluded when judging a manager, but included when judging the mine as a stand-alone unit.</w:t>
      </w:r>
    </w:p>
    <w:p>
      <w:pPr>
        <w:spacing w:before="22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2. How to calculate and use these measures (worked on Diamante’s numbers)</w:t>
      </w:r>
    </w:p>
    <w:p>
      <w:pPr>
        <w:spacing w:before="120" w:after="20"/>
      </w:pPr>
      <w:r>
        <w:rPr>
          <w:b/>
          <w:color w:val="1F3D6B"/>
          <w:sz w:val="22"/>
        </w:rPr>
        <w:t>Step 1 — Net investment (permanent capital)</w:t>
      </w:r>
    </w:p>
    <w:p>
      <w:pPr>
        <w:spacing w:after="80"/>
      </w:pPr>
      <w:r>
        <w:rPr>
          <w:b w:val="0"/>
          <w:i w:val="0"/>
          <w:sz w:val="19"/>
        </w:rPr>
        <w:t>Net investment = Total assets − current liabilities, but the CURRENT PORTION OF LONG-TERM DEBT is excluded (only PERMANENT finance counts). This matters hugely for Diamante: the R2 925m of borrowings is only "current" because it matures in FY2027 and was not yet refinanced at year-end (IAS 1) — economically it is long-term capital, so we treat it as permanent.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320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Net investment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2026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3888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assets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4 851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6 804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Less: genuine current liabilities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(432)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(981)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2026: 3 357 − 2 925 reclassified loans; 2025: 1 206 − 225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= Net investment (permanent capital)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4 419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5 823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Equals Equity + long-term finance (incl. the loans)</w:t>
            </w:r>
          </w:p>
        </w:tc>
      </w:tr>
    </w:tbl>
    <w:p>
      <w:pPr>
        <w:spacing w:before="120" w:after="20"/>
      </w:pPr>
      <w:r>
        <w:rPr>
          <w:b/>
          <w:color w:val="1F3D6B"/>
          <w:sz w:val="22"/>
        </w:rPr>
        <w:t>Step 2 — NOPAT (profit before gearing, after tax)</w:t>
      </w:r>
    </w:p>
    <w:p>
      <w:pPr>
        <w:spacing w:after="80"/>
      </w:pPr>
      <w:r>
        <w:rPr>
          <w:b w:val="0"/>
          <w:i w:val="0"/>
          <w:sz w:val="19"/>
        </w:rPr>
        <w:t>Per the MAF rule, add back interest to profit before tax and tax-adjust: NOPAT = (loss before tax + finance expense) × (1 − 27%). (Ideally also strip one-off items — see the note below.)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888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2026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417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Working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Loss before tax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(1 719)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(1 026)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Add back: finance expense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378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360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= Result before interest &amp; tax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(1 341)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(666)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× (1 − 0.27)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(979)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(486)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NOPAT</w:t>
            </w:r>
          </w:p>
        </w:tc>
      </w:tr>
    </w:tbl>
    <w:p>
      <w:pPr>
        <w:spacing w:before="120" w:after="20"/>
      </w:pPr>
      <w:r>
        <w:rPr>
          <w:b/>
          <w:color w:val="1F3D6B"/>
          <w:sz w:val="22"/>
        </w:rPr>
        <w:t>Step 3 — ROI, RI and EVA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58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2026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561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Working / interpretation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ROI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(22.2%)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(8.3%)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NOPAT ÷ net investment (−979 ÷ 4 419; −486 ÷ 5 823). Negative and worsening → the mines are not covering their asset base.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Residual income (RI)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(1 509)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(1 185)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NOPAT − (WACC × net investment). Assuming WACC 12%: −979 − (12% × 4 419); −486 − (12% × 5 823). Hugely negative → value is being DESTROYED against the cost of capital.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EVA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≈ RI (deeply negative)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RI adjusted (e.g. capitalise exploration/major campaigns; capitalise leases per the notes; risk-adjust WACC). Same story — value destruction. Best used per mine once mine-level assets are split.</w:t>
            </w:r>
          </w:p>
        </w:tc>
      </w:tr>
    </w:tbl>
    <w:p>
      <w:pPr>
        <w:spacing w:after="80"/>
      </w:pPr>
      <w:r>
        <w:rPr>
          <w:b w:val="0"/>
          <w:i/>
          <w:sz w:val="17"/>
        </w:rPr>
        <w:t>Note: WACC of 12% is an assumption (in practice compute it from CAPM cost of equity + after-tax cost of debt, risk-adjusted per mine). A per-mine ROI/RI/EVA needs the mine-level asset split — only revenue and impairment are disclosed per mine, so I would request the divisional balance sheets.</w:t>
      </w:r>
    </w:p>
    <w:p>
      <w:pPr>
        <w:spacing w:before="120" w:after="20"/>
      </w:pPr>
      <w:r>
        <w:rPr>
          <w:b/>
          <w:color w:val="1F3D6B"/>
          <w:sz w:val="22"/>
        </w:rPr>
        <w:t>Step 4 — Cash &amp; operational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58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2026</w:t>
            </w:r>
          </w:p>
        </w:tc>
        <w:tc>
          <w:tcPr>
            <w:tcW w:type="dxa" w:w="129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5472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Working / how to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Adjusted EBITDA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540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Operating loss + depreciation 675 + impairments (963+207 / 702+27). Positive but halved — the cash the mines still make; the number the bank cares about.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Net debt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2 592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2 178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Borrowings − cash (2 925 − 333; 2 439 − 261). Reward reducing this — directly tied to the refinancing.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Cost per carat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request data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Mining costs ÷ carats recovered, per mine (mining costs 2 295 vs 2 817). Rewards efficiency without the "mine less" loophole. Carats not disclosed → request.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Realised US$ / carat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request data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Revenue ÷ carats sold, vs a price index. Rewards the value-led sorting/tender decisions managers actually make.</w:t>
            </w:r>
          </w:p>
        </w:tc>
      </w:tr>
    </w:tbl>
    <w:p>
      <w:pPr>
        <w:spacing w:before="120" w:after="20"/>
      </w:pPr>
      <w:r>
        <w:rPr>
          <w:b/>
          <w:color w:val="1F3D6B"/>
          <w:sz w:val="22"/>
        </w:rPr>
        <w:t>How to USE these with the client</w:t>
      </w:r>
    </w:p>
    <w:p>
      <w:pPr>
        <w:pStyle w:val="ListBullet"/>
        <w:spacing w:after="60"/>
      </w:pPr>
      <w:r>
        <w:rPr>
          <w:b/>
        </w:rPr>
        <w:t xml:space="preserve">Judge each mine against its own WACC and prior year. </w:t>
      </w:r>
      <w:r>
        <w:t>If RI/EVA &gt; 0 the mine adds value; if &lt; 0 (as now) it destroys value — that is the honest basis for reward, not accounting "profit".</w:t>
      </w:r>
    </w:p>
    <w:p>
      <w:pPr>
        <w:pStyle w:val="ListBullet"/>
        <w:spacing w:after="60"/>
      </w:pPr>
      <w:r>
        <w:rPr>
          <w:b/>
        </w:rPr>
        <w:t xml:space="preserve">Base the incentive scheme on them. </w:t>
      </w:r>
      <w:r>
        <w:t>Replace the Document 5 KPIs with a tiered set: executives on group FCF, net-debt reduction and adjusted EBITDA; mine managers on their mine’s cost per carat, grade recovery, RI and safety.</w:t>
      </w:r>
    </w:p>
    <w:p>
      <w:pPr>
        <w:pStyle w:val="ListBullet"/>
        <w:spacing w:after="60"/>
      </w:pPr>
      <w:r>
        <w:rPr>
          <w:b/>
        </w:rPr>
        <w:t xml:space="preserve">Use a bonus bank. </w:t>
      </w:r>
      <w:r>
        <w:t>Link bonuses to RI/EVA with part retained in a bonus bank that is forfeited if value turns negative — appropriate while the company is loss-making.</w:t>
      </w:r>
    </w:p>
    <w:p>
      <w:pPr>
        <w:spacing w:before="22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3. Critique of the current performance basis in Document 5</w:t>
      </w:r>
    </w:p>
    <w:p>
      <w:pPr>
        <w:spacing w:after="80"/>
      </w:pPr>
      <w:r>
        <w:rPr>
          <w:b w:val="0"/>
          <w:i w:val="0"/>
          <w:sz w:val="19"/>
        </w:rPr>
        <w:t>Document 5 pays management in shares worth 3–5× salary, vesting over three years against five KPIs. Judged against the measures above and the controllability principle, the current basis is weak and, in places, counter-productive: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Current KPI</w:t>
            </w:r>
          </w:p>
        </w:tc>
        <w:tc>
          <w:tcPr>
            <w:tcW w:type="dxa" w:w="5760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Why the current basis fails</w:t>
            </w:r>
          </w:p>
        </w:tc>
        <w:tc>
          <w:tcPr>
            <w:tcW w:type="dxa" w:w="2160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Better measure (from §1–2)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1. Mining cost growth (excl. impairments) below inflation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Blunt and already met — costs fell 18.5% (2 817→2 295), so it pays out in a R1 044m loss year, and rewards cutting the very development/maintenance/safety spend the mines need.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Cost per carat vs budget (stops the "mine less" win)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2. Net profit growth ≥ 5%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Not achievable — you cannot grow a R1 044m loss by 5%; largely uncontrollable (price, FX, impairments); invites profit "manufactured" via disposals (the R405m mine sale) or impairment choices (Mine 2).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RI / EVA and adjusted EBITDA — value-based and realistic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3. High-value diamonds as % of total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On-strategy but geology-driven and vaguely defined; can be gamed by high-grading and sterilising the lower-grade Mine 1 block (Doc 4).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Realised US$/carat + grade recovery, with a geologist sign-off guardrail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4. Reduction in inventories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Helps cash but fights the "defer tenders when prices are weak" strategy, and is easily met by write-downs or mining less.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 cash flow / net-debt reduction — cash without dumping stock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5. EY integrated-reporting rating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Rewards the report, not real ESG (greenwashing); external, subjective, largely uncontrollable.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Hard ESG outcomes: TRIFR, rehabilitation, GHG vs roadmap</w:t>
            </w:r>
          </w:p>
        </w:tc>
      </w:tr>
    </w:tbl>
    <w:p>
      <w:pPr>
        <w:spacing w:after="40"/>
      </w:pPr>
      <w:r>
        <w:rPr>
          <w:b/>
          <w:i w:val="0"/>
          <w:sz w:val="22"/>
        </w:rPr>
        <w:t>Cohesive conclusion</w:t>
      </w:r>
    </w:p>
    <w:p>
      <w:pPr>
        <w:pStyle w:val="ListBullet"/>
        <w:spacing w:after="60"/>
      </w:pPr>
      <w:r>
        <w:rPr>
          <w:b/>
        </w:rPr>
        <w:t xml:space="preserve">The scheme measures the wrong things. </w:t>
      </w:r>
      <w:r>
        <w:t>It is dominated by uncontrollable or unachievable targets (KPIs 2, 3, 5) and low bars already met (KPI 1), so it could pay out fully in a year the company made a record loss and nearly breached going concern — the classic "reward for failure" that caused the AGM dissent.</w:t>
      </w:r>
    </w:p>
    <w:p>
      <w:pPr>
        <w:pStyle w:val="ListBullet"/>
        <w:spacing w:after="60"/>
      </w:pPr>
      <w:r>
        <w:rPr>
          <w:b/>
        </w:rPr>
        <w:t xml:space="preserve">It ignores the real priorities. </w:t>
      </w:r>
      <w:r>
        <w:t>There is no cash, net-debt, RI/EVA or safety measure, even though survival (the refinancing and rights issue) and the licence to operate are what actually matter now.</w:t>
      </w:r>
    </w:p>
    <w:p>
      <w:pPr>
        <w:pStyle w:val="ListBullet"/>
        <w:spacing w:after="60"/>
      </w:pPr>
      <w:r>
        <w:rPr>
          <w:b/>
        </w:rPr>
        <w:t xml:space="preserve">The fix is coherent. </w:t>
      </w:r>
      <w:r>
        <w:t>Rebuild the scheme on value- and cash-based measures (RI/EVA, FCF, net debt, cost per carat, realised US$/carat) plus a balanced-scorecard layer of safety and ESG outcomes, tiered by responsibility, market-adjusted for the diamond cycle, and protected by malus/clawback and a bonus bank — so pay tracks controllable, sustainable, long-term value creation.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