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D6B"/>
          <w:sz w:val="28"/>
        </w:rPr>
        <w:t>Diamante Ltd — Critical Evaluation of Document 5 (Proposed Long-term Incentive Scheme)</w:t>
      </w:r>
    </w:p>
    <w:p>
      <w:pPr>
        <w:spacing w:after="80"/>
      </w:pPr>
      <w:r>
        <w:rPr>
          <w:b w:val="0"/>
          <w:i/>
          <w:sz w:val="18"/>
        </w:rPr>
        <w:t>APC 2026 (1st Qualifying Exam) pre-release. This note assesses the triggers in Document 5, applies the UCT MAF performance-evaluation theory, critically evaluates each KPI and Lavashni’s understanding of it, considers implementation and strategic alignment, and performs an IFRS 2 evaluation of the share-based scheme. Amounts are in R millions unless stated.</w:t>
      </w:r>
    </w:p>
    <w:p>
      <w:pPr>
        <w:spacing w:before="200" w:after="40"/>
        <w:pBdr>
          <w:bottom w:val="single" w:sz="6" w:space="2" w:color="808080"/>
        </w:pBdr>
      </w:pPr>
      <w:r>
        <w:rPr>
          <w:b/>
          <w:color w:val="1F3D6B"/>
          <w:sz w:val="26"/>
        </w:rPr>
        <w:t>1. Triggers identified in Document 5</w:t>
      </w:r>
    </w:p>
    <w:tbl>
      <w:tblPr>
        <w:tblStyle w:val="TableGrid"/>
        <w:tblW w:type="auto" w:w="0"/>
        <w:jc w:val="center"/>
        <w:tblLook w:firstColumn="1" w:firstRow="1" w:lastColumn="0" w:lastRow="0" w:noHBand="0" w:noVBand="1" w:val="04A0"/>
      </w:tblPr>
      <w:tblGrid>
        <w:gridCol w:w="5184"/>
        <w:gridCol w:w="5184"/>
      </w:tblGrid>
      <w:tr>
        <w:tc>
          <w:tcPr>
            <w:tcW w:type="dxa" w:w="7632"/>
            <w:shd w:val="clear" w:fill="1f3d6b"/>
          </w:tcPr>
          <w:p>
            <w:r/>
            <w:r>
              <w:rPr>
                <w:b/>
                <w:color w:val="FFFFFF"/>
                <w:sz w:val="18"/>
              </w:rPr>
              <w:t>Trigger in Document 5</w:t>
            </w:r>
          </w:p>
        </w:tc>
        <w:tc>
          <w:tcPr>
            <w:tcW w:type="dxa" w:w="2736"/>
            <w:shd w:val="clear" w:fill="1f3d6b"/>
          </w:tcPr>
          <w:p>
            <w:r/>
            <w:r>
              <w:rPr>
                <w:b/>
                <w:color w:val="FFFFFF"/>
                <w:sz w:val="18"/>
              </w:rPr>
              <w:t>Competency area</w:t>
            </w:r>
          </w:p>
        </w:tc>
      </w:tr>
      <w:tr>
        <w:tc>
          <w:tcPr>
            <w:tcW w:type="dxa" w:w="7632"/>
          </w:tcPr>
          <w:p>
            <w:r/>
            <w:r>
              <w:rPr>
                <w:sz w:val="18"/>
              </w:rPr>
              <w:t>A new long-term incentive scheme is proposed for management.</w:t>
            </w:r>
          </w:p>
        </w:tc>
        <w:tc>
          <w:tcPr>
            <w:tcW w:type="dxa" w:w="2736"/>
          </w:tcPr>
          <w:p>
            <w:r/>
            <w:r>
              <w:rPr>
                <w:sz w:val="18"/>
              </w:rPr>
              <w:t>Strategy / Management decision-making (MDMC)</w:t>
            </w:r>
          </w:p>
        </w:tc>
      </w:tr>
      <w:tr>
        <w:tc>
          <w:tcPr>
            <w:tcW w:type="dxa" w:w="7632"/>
          </w:tcPr>
          <w:p>
            <w:r/>
            <w:r>
              <w:rPr>
                <w:sz w:val="18"/>
              </w:rPr>
              <w:t>The bonus is a share-based payment (shares worth 3–5× salary, vesting over three years).</w:t>
            </w:r>
          </w:p>
        </w:tc>
        <w:tc>
          <w:tcPr>
            <w:tcW w:type="dxa" w:w="2736"/>
          </w:tcPr>
          <w:p>
            <w:r/>
            <w:r>
              <w:rPr>
                <w:sz w:val="18"/>
              </w:rPr>
              <w:t>Financial reporting (IFRS 2)</w:t>
            </w:r>
          </w:p>
        </w:tc>
      </w:tr>
      <w:tr>
        <w:tc>
          <w:tcPr>
            <w:tcW w:type="dxa" w:w="7632"/>
          </w:tcPr>
          <w:p>
            <w:r/>
            <w:r>
              <w:rPr>
                <w:sz w:val="18"/>
              </w:rPr>
              <w:t>Five key performance indicators are used to measure and reward performance.</w:t>
            </w:r>
          </w:p>
        </w:tc>
        <w:tc>
          <w:tcPr>
            <w:tcW w:type="dxa" w:w="2736"/>
          </w:tcPr>
          <w:p>
            <w:r/>
            <w:r>
              <w:rPr>
                <w:sz w:val="18"/>
              </w:rPr>
              <w:t>MDMC (performance evaluation)</w:t>
            </w:r>
          </w:p>
        </w:tc>
      </w:tr>
      <w:tr>
        <w:tc>
          <w:tcPr>
            <w:tcW w:type="dxa" w:w="7632"/>
          </w:tcPr>
          <w:p>
            <w:r/>
            <w:r>
              <w:rPr>
                <w:sz w:val="18"/>
              </w:rPr>
              <w:t>Lavashni states her own understanding of what each KPI is meant to achieve.</w:t>
            </w:r>
          </w:p>
        </w:tc>
        <w:tc>
          <w:tcPr>
            <w:tcW w:type="dxa" w:w="2736"/>
          </w:tcPr>
          <w:p>
            <w:r/>
            <w:r>
              <w:rPr>
                <w:sz w:val="18"/>
              </w:rPr>
              <w:t>MDMC / Pervasive (critical evaluation)</w:t>
            </w:r>
          </w:p>
        </w:tc>
      </w:tr>
      <w:tr>
        <w:tc>
          <w:tcPr>
            <w:tcW w:type="dxa" w:w="7632"/>
          </w:tcPr>
          <w:p>
            <w:r/>
            <w:r>
              <w:rPr>
                <w:sz w:val="18"/>
              </w:rPr>
              <w:t>Bonuses were paused for all other staff, yet management may still receive large awards.</w:t>
            </w:r>
          </w:p>
        </w:tc>
        <w:tc>
          <w:tcPr>
            <w:tcW w:type="dxa" w:w="2736"/>
          </w:tcPr>
          <w:p>
            <w:r/>
            <w:r>
              <w:rPr>
                <w:sz w:val="18"/>
              </w:rPr>
              <w:t>Ethics / Governance</w:t>
            </w:r>
          </w:p>
        </w:tc>
      </w:tr>
      <w:tr>
        <w:tc>
          <w:tcPr>
            <w:tcW w:type="dxa" w:w="7632"/>
          </w:tcPr>
          <w:p>
            <w:r/>
            <w:r>
              <w:rPr>
                <w:sz w:val="18"/>
              </w:rPr>
              <w:t>There was shareholder dissent about remuneration at the AGM.</w:t>
            </w:r>
          </w:p>
        </w:tc>
        <w:tc>
          <w:tcPr>
            <w:tcW w:type="dxa" w:w="2736"/>
          </w:tcPr>
          <w:p>
            <w:r/>
            <w:r>
              <w:rPr>
                <w:sz w:val="18"/>
              </w:rPr>
              <w:t>Ethics / Governance (King IV P14)</w:t>
            </w:r>
          </w:p>
        </w:tc>
      </w:tr>
      <w:tr>
        <w:tc>
          <w:tcPr>
            <w:tcW w:type="dxa" w:w="7632"/>
          </w:tcPr>
          <w:p>
            <w:r/>
            <w:r>
              <w:rPr>
                <w:sz w:val="18"/>
              </w:rPr>
              <w:t>Lavashni is a newly appointed independent non-executive director now chairing the remuneration committee, but did not attend the AGM and is on leave.</w:t>
            </w:r>
          </w:p>
        </w:tc>
        <w:tc>
          <w:tcPr>
            <w:tcW w:type="dxa" w:w="2736"/>
          </w:tcPr>
          <w:p>
            <w:r/>
            <w:r>
              <w:rPr>
                <w:sz w:val="18"/>
              </w:rPr>
              <w:t>Ethics / Governance (competence, availability, independence)</w:t>
            </w:r>
          </w:p>
        </w:tc>
      </w:tr>
      <w:tr>
        <w:tc>
          <w:tcPr>
            <w:tcW w:type="dxa" w:w="7632"/>
          </w:tcPr>
          <w:p>
            <w:r/>
            <w:r>
              <w:rPr>
                <w:sz w:val="18"/>
              </w:rPr>
              <w:t>The scheme sits against a going-concern and refinancing backdrop (a large loss and a rights issue).</w:t>
            </w:r>
          </w:p>
        </w:tc>
        <w:tc>
          <w:tcPr>
            <w:tcW w:type="dxa" w:w="2736"/>
          </w:tcPr>
          <w:p>
            <w:r/>
            <w:r>
              <w:rPr>
                <w:sz w:val="18"/>
              </w:rPr>
              <w:t>Pervasive (going concern)</w:t>
            </w:r>
          </w:p>
        </w:tc>
      </w:tr>
    </w:tbl>
    <w:p>
      <w:pPr>
        <w:spacing w:before="200" w:after="40"/>
        <w:pBdr>
          <w:bottom w:val="single" w:sz="6" w:space="2" w:color="808080"/>
        </w:pBdr>
      </w:pPr>
      <w:r>
        <w:rPr>
          <w:b/>
          <w:color w:val="1F3D6B"/>
          <w:sz w:val="26"/>
        </w:rPr>
        <w:t>2. The performance-evaluation theory I am applying (from the UCT MAF pack)</w:t>
      </w:r>
    </w:p>
    <w:p>
      <w:pPr>
        <w:pStyle w:val="ListBullet"/>
        <w:spacing w:after="60"/>
      </w:pPr>
      <w:r>
        <w:rPr>
          <w:sz w:val="20"/>
        </w:rPr>
        <w:t>Performance evaluation should encourage cost control, hold managers accountable only for what is within their control, and encourage goal congruence between the manager, the division and the company.</w:t>
      </w:r>
    </w:p>
    <w:p>
      <w:pPr>
        <w:pStyle w:val="ListBullet"/>
        <w:spacing w:after="60"/>
      </w:pPr>
      <w:r>
        <w:rPr>
          <w:sz w:val="20"/>
        </w:rPr>
        <w:t>It should discourage "mischievous" behaviour, meaning targets that can be hit in ways that damage the business.</w:t>
      </w:r>
    </w:p>
    <w:p>
      <w:pPr>
        <w:pStyle w:val="ListBullet"/>
        <w:spacing w:after="60"/>
      </w:pPr>
      <w:r>
        <w:rPr>
          <w:sz w:val="20"/>
        </w:rPr>
        <w:t>A good performance measure should be controllable, achievable, measurable, aligned to strategy, and difficult to manipulate.</w:t>
      </w:r>
    </w:p>
    <w:p>
      <w:pPr>
        <w:pStyle w:val="ListBullet"/>
        <w:spacing w:after="60"/>
      </w:pPr>
      <w:r>
        <w:rPr>
          <w:sz w:val="20"/>
        </w:rPr>
        <w:t>Return on investment (ROI) is easy to compare but drives dysfunctional behaviour, such as not replacing assets or rejecting value-adding projects that dilute a high ROI.</w:t>
      </w:r>
    </w:p>
    <w:p>
      <w:pPr>
        <w:pStyle w:val="ListBullet"/>
        <w:spacing w:after="60"/>
      </w:pPr>
      <w:r>
        <w:rPr>
          <w:sz w:val="20"/>
        </w:rPr>
        <w:t>Residual income (RI) and economic value added (EVA) are conceptually superior, because they reward any activity that earns more than the cost of capital (WACC).</w:t>
      </w:r>
    </w:p>
    <w:p>
      <w:pPr>
        <w:pStyle w:val="ListBullet"/>
        <w:spacing w:after="60"/>
      </w:pPr>
      <w:r>
        <w:rPr>
          <w:sz w:val="20"/>
        </w:rPr>
        <w:t>A Balanced Scorecard should be used so that performance is judged on financial and non-financial measures, and on both leading and lagging indicators, all linked to strategy.</w:t>
      </w:r>
    </w:p>
    <w:p>
      <w:pPr>
        <w:pStyle w:val="ListBullet"/>
        <w:spacing w:after="60"/>
      </w:pPr>
      <w:r>
        <w:rPr>
          <w:sz w:val="20"/>
        </w:rPr>
        <w:t>A bonus bank can be used, where part of a bonus is retained and forfeited in years when value is destroyed.</w:t>
      </w:r>
    </w:p>
    <w:p>
      <w:pPr>
        <w:spacing w:before="200" w:after="40"/>
        <w:pBdr>
          <w:bottom w:val="single" w:sz="6" w:space="2" w:color="808080"/>
        </w:pBdr>
      </w:pPr>
      <w:r>
        <w:rPr>
          <w:b/>
          <w:color w:val="1F3D6B"/>
          <w:sz w:val="26"/>
        </w:rPr>
        <w:t>3. Critical evaluation of the five KPIs and Lavashni’s understanding of each</w:t>
      </w:r>
    </w:p>
    <w:p>
      <w:pPr>
        <w:spacing w:after="80"/>
      </w:pPr>
      <w:r>
        <w:rPr>
          <w:b w:val="0"/>
          <w:i/>
          <w:sz w:val="19"/>
        </w:rPr>
        <w:t>For each KPI, I set out Lavashni’s stated understanding, the positive and negative points of the KPI itself, whether her understanding is correct, and a recommendation.</w:t>
      </w:r>
    </w:p>
    <w:p>
      <w:pPr>
        <w:spacing w:before="120" w:after="20"/>
      </w:pPr>
      <w:r>
        <w:rPr>
          <w:b/>
          <w:color w:val="1F3D6B"/>
          <w:sz w:val="22"/>
        </w:rPr>
        <w:t>KPI 1 — Mining cost growth (excluding impairments) below inflation</w:t>
      </w:r>
    </w:p>
    <w:p>
      <w:pPr>
        <w:spacing w:before="60" w:after="20"/>
      </w:pPr>
      <w:r>
        <w:rPr>
          <w:b/>
          <w:i/>
          <w:sz w:val="19"/>
        </w:rPr>
        <w:t>Lavashni’s stated understanding</w:t>
      </w:r>
    </w:p>
    <w:p>
      <w:pPr>
        <w:pStyle w:val="ListBullet"/>
        <w:spacing w:after="60"/>
      </w:pPr>
      <w:r>
        <w:rPr>
          <w:sz w:val="20"/>
        </w:rPr>
        <w:t>Lavashni understands this KPI as highlighting management cost control.</w:t>
      </w:r>
    </w:p>
    <w:p>
      <w:pPr>
        <w:pStyle w:val="ListBullet"/>
        <w:spacing w:after="60"/>
      </w:pPr>
      <w:r>
        <w:rPr>
          <w:sz w:val="20"/>
        </w:rPr>
        <w:t>Her understanding of the intention is essentially correct, because the measure does target the control of mining costs.</w:t>
      </w:r>
    </w:p>
    <w:p>
      <w:pPr>
        <w:spacing w:before="60" w:after="20"/>
      </w:pPr>
      <w:r>
        <w:rPr>
          <w:b/>
          <w:i/>
          <w:sz w:val="19"/>
        </w:rPr>
        <w:t>Positive points of the KPI</w:t>
      </w:r>
    </w:p>
    <w:p>
      <w:pPr>
        <w:pStyle w:val="ListBullet"/>
        <w:spacing w:after="60"/>
      </w:pPr>
      <w:r>
        <w:rPr>
          <w:sz w:val="20"/>
        </w:rPr>
        <w:t>The measure is largely controllable, because mining costs are within management’s influence.</w:t>
      </w:r>
    </w:p>
    <w:p>
      <w:pPr>
        <w:pStyle w:val="ListBullet"/>
        <w:spacing w:after="60"/>
      </w:pPr>
      <w:r>
        <w:rPr>
          <w:sz w:val="20"/>
        </w:rPr>
        <w:t>Excluding impairments is appropriate, because impairments are driven by the diamond price and are not controllable.</w:t>
      </w:r>
    </w:p>
    <w:p>
      <w:pPr>
        <w:pStyle w:val="ListBullet"/>
        <w:spacing w:after="60"/>
      </w:pPr>
      <w:r>
        <w:rPr>
          <w:sz w:val="20"/>
        </w:rPr>
        <w:t>It encourages efficiency and discipline over operating costs.</w:t>
      </w:r>
    </w:p>
    <w:p>
      <w:pPr>
        <w:spacing w:before="60" w:after="20"/>
      </w:pPr>
      <w:r>
        <w:rPr>
          <w:b/>
          <w:i/>
          <w:sz w:val="19"/>
        </w:rPr>
        <w:t>Negative points of the KPI</w:t>
      </w:r>
    </w:p>
    <w:p>
      <w:pPr>
        <w:pStyle w:val="ListBullet"/>
        <w:spacing w:after="60"/>
      </w:pPr>
      <w:r>
        <w:rPr>
          <w:sz w:val="20"/>
        </w:rPr>
        <w:t>It is a very low bar, because mining costs already fell by 18.5% (from R2 817m to R2 295m), which is far below inflation.</w:t>
      </w:r>
    </w:p>
    <w:p>
      <w:pPr>
        <w:pStyle w:val="ListBullet"/>
        <w:spacing w:after="60"/>
      </w:pPr>
      <w:r>
        <w:rPr>
          <w:sz w:val="20"/>
        </w:rPr>
        <w:t>This means the KPI would pay out in a year in which the company made a R1 044m loss.</w:t>
      </w:r>
    </w:p>
    <w:p>
      <w:pPr>
        <w:pStyle w:val="ListBullet"/>
        <w:spacing w:after="60"/>
      </w:pPr>
      <w:r>
        <w:rPr>
          <w:sz w:val="20"/>
        </w:rPr>
        <w:t>It rewards absolute cost reduction, so it can be met simply by mining less or by cutting development, maintenance, rehabilitation or safety spending.</w:t>
      </w:r>
    </w:p>
    <w:p>
      <w:pPr>
        <w:pStyle w:val="ListBullet"/>
        <w:spacing w:after="60"/>
      </w:pPr>
      <w:r>
        <w:rPr>
          <w:sz w:val="20"/>
        </w:rPr>
        <w:t>It still does not isolate other uncontrollable factors such as the exchange rate.</w:t>
      </w:r>
    </w:p>
    <w:p>
      <w:pPr>
        <w:spacing w:before="60" w:after="20"/>
      </w:pPr>
      <w:r>
        <w:rPr>
          <w:b/>
          <w:i/>
          <w:sz w:val="19"/>
        </w:rPr>
        <w:t>Is her understanding correct?</w:t>
      </w:r>
    </w:p>
    <w:p>
      <w:pPr>
        <w:pStyle w:val="ListBullet"/>
        <w:spacing w:after="60"/>
      </w:pPr>
      <w:r>
        <w:rPr>
          <w:sz w:val="20"/>
        </w:rPr>
        <w:t>She is right that it targets cost control, but she may not appreciate that it is a weak measure that can be achieved in value-destroying ways.</w:t>
      </w:r>
    </w:p>
    <w:p>
      <w:pPr>
        <w:pStyle w:val="ListBullet"/>
        <w:spacing w:after="60"/>
      </w:pPr>
      <w:r>
        <w:rPr>
          <w:sz w:val="20"/>
        </w:rPr>
        <w:t>The KPI measures cost growth rather than cost efficiency, so it does not tell us whether the mines are actually being run better.</w:t>
      </w:r>
    </w:p>
    <w:p>
      <w:pPr>
        <w:spacing w:before="60" w:after="20"/>
      </w:pPr>
      <w:r>
        <w:rPr>
          <w:b/>
          <w:i/>
          <w:sz w:val="19"/>
        </w:rPr>
        <w:t>Recommendation</w:t>
      </w:r>
    </w:p>
    <w:p>
      <w:pPr>
        <w:pStyle w:val="ListBullet"/>
        <w:spacing w:after="60"/>
      </w:pPr>
      <w:r>
        <w:rPr>
          <w:sz w:val="20"/>
        </w:rPr>
        <w:t>Replace it with cost per carat measured against budget for each mine, so efficiency is rewarded without rewarding a manager for simply mining less.</w:t>
      </w:r>
    </w:p>
    <w:p>
      <w:pPr>
        <w:spacing w:before="120" w:after="20"/>
      </w:pPr>
      <w:r>
        <w:rPr>
          <w:b/>
          <w:color w:val="1F3D6B"/>
          <w:sz w:val="22"/>
        </w:rPr>
        <w:t>KPI 2 — Net profit growth of at least 5%</w:t>
      </w:r>
    </w:p>
    <w:p>
      <w:pPr>
        <w:spacing w:before="60" w:after="20"/>
      </w:pPr>
      <w:r>
        <w:rPr>
          <w:b/>
          <w:i/>
          <w:sz w:val="19"/>
        </w:rPr>
        <w:t>Lavashni’s stated understanding</w:t>
      </w:r>
    </w:p>
    <w:p>
      <w:pPr>
        <w:pStyle w:val="ListBullet"/>
        <w:spacing w:after="60"/>
      </w:pPr>
      <w:r>
        <w:rPr>
          <w:sz w:val="20"/>
        </w:rPr>
        <w:t>Lavashni understands this KPI as ensuring that shareholders benefit.</w:t>
      </w:r>
    </w:p>
    <w:p>
      <w:pPr>
        <w:pStyle w:val="ListBullet"/>
        <w:spacing w:after="60"/>
      </w:pPr>
      <w:r>
        <w:rPr>
          <w:sz w:val="20"/>
        </w:rPr>
        <w:t>Her understanding is largely incorrect, because growing accounting profit does not reliably mean that shareholders benefit, and the target cannot be met in the current circumstances.</w:t>
      </w:r>
    </w:p>
    <w:p>
      <w:pPr>
        <w:spacing w:before="60" w:after="20"/>
      </w:pPr>
      <w:r>
        <w:rPr>
          <w:b/>
          <w:i/>
          <w:sz w:val="19"/>
        </w:rPr>
        <w:t>Positive points of the KPI</w:t>
      </w:r>
    </w:p>
    <w:p>
      <w:pPr>
        <w:pStyle w:val="ListBullet"/>
        <w:spacing w:after="60"/>
      </w:pPr>
      <w:r>
        <w:rPr>
          <w:sz w:val="20"/>
        </w:rPr>
        <w:t>In principle it links management’s reward to a headline financial outcome that shareholders care about.</w:t>
      </w:r>
    </w:p>
    <w:p>
      <w:pPr>
        <w:spacing w:before="60" w:after="20"/>
      </w:pPr>
      <w:r>
        <w:rPr>
          <w:b/>
          <w:i/>
          <w:sz w:val="19"/>
        </w:rPr>
        <w:t>Negative points of the KPI</w:t>
      </w:r>
    </w:p>
    <w:p>
      <w:pPr>
        <w:pStyle w:val="ListBullet"/>
        <w:spacing w:after="60"/>
      </w:pPr>
      <w:r>
        <w:rPr>
          <w:sz w:val="20"/>
        </w:rPr>
        <w:t>The company made a loss of R1 044m, so it is arithmetically impossible to grow profit by 5%.</w:t>
      </w:r>
    </w:p>
    <w:p>
      <w:pPr>
        <w:pStyle w:val="ListBullet"/>
        <w:spacing w:after="60"/>
      </w:pPr>
      <w:r>
        <w:rPr>
          <w:sz w:val="20"/>
        </w:rPr>
        <w:t>Profit is largely uncontrollable, because it is driven by the US dollar diamond price, the exchange rate and impairments.</w:t>
      </w:r>
    </w:p>
    <w:p>
      <w:pPr>
        <w:pStyle w:val="ListBullet"/>
        <w:spacing w:after="60"/>
      </w:pPr>
      <w:r>
        <w:rPr>
          <w:sz w:val="20"/>
        </w:rPr>
        <w:t>Accounting profit is not the same as cash or shareholder value, so the KPI can be met without any real benefit to shareholders.</w:t>
      </w:r>
    </w:p>
    <w:p>
      <w:pPr>
        <w:pStyle w:val="ListBullet"/>
        <w:spacing w:after="60"/>
      </w:pPr>
      <w:r>
        <w:rPr>
          <w:sz w:val="20"/>
        </w:rPr>
        <w:t>It invites manipulation, because profit can be created through asset disposals (such as the R405m profit on the Botswana mine) or through impairment decisions on Mine 2.</w:t>
      </w:r>
    </w:p>
    <w:p>
      <w:pPr>
        <w:spacing w:before="60" w:after="20"/>
      </w:pPr>
      <w:r>
        <w:rPr>
          <w:b/>
          <w:i/>
          <w:sz w:val="19"/>
        </w:rPr>
        <w:t>Is her understanding correct?</w:t>
      </w:r>
    </w:p>
    <w:p>
      <w:pPr>
        <w:pStyle w:val="ListBullet"/>
        <w:spacing w:after="60"/>
      </w:pPr>
      <w:r>
        <w:rPr>
          <w:sz w:val="20"/>
        </w:rPr>
        <w:t>She is incorrect to equate profit growth with a shareholder benefit, because profit can rise through disposals, impairment reversals or tax effects that do not create real value.</w:t>
      </w:r>
    </w:p>
    <w:p>
      <w:pPr>
        <w:pStyle w:val="ListBullet"/>
        <w:spacing w:after="60"/>
      </w:pPr>
      <w:r>
        <w:rPr>
          <w:sz w:val="20"/>
        </w:rPr>
        <w:t>She has also not recognised that the target is unachievable while the company is loss-making.</w:t>
      </w:r>
    </w:p>
    <w:p>
      <w:pPr>
        <w:spacing w:before="60" w:after="20"/>
      </w:pPr>
      <w:r>
        <w:rPr>
          <w:b/>
          <w:i/>
          <w:sz w:val="19"/>
        </w:rPr>
        <w:t>Recommendation</w:t>
      </w:r>
    </w:p>
    <w:p>
      <w:pPr>
        <w:pStyle w:val="ListBullet"/>
        <w:spacing w:after="60"/>
      </w:pPr>
      <w:r>
        <w:rPr>
          <w:sz w:val="20"/>
        </w:rPr>
        <w:t>Replace it with a value or cash-based measure such as residual income, economic value added, free cash flow or a reduction in the operating loss, which are realistic and closer to real shareholder value.</w:t>
      </w:r>
    </w:p>
    <w:p>
      <w:pPr>
        <w:spacing w:before="120" w:after="20"/>
      </w:pPr>
      <w:r>
        <w:rPr>
          <w:b/>
          <w:color w:val="1F3D6B"/>
          <w:sz w:val="22"/>
        </w:rPr>
        <w:t>KPI 3 — Number of high-value diamonds as a percentage of total diamonds mined</w:t>
      </w:r>
    </w:p>
    <w:p>
      <w:pPr>
        <w:spacing w:before="60" w:after="20"/>
      </w:pPr>
      <w:r>
        <w:rPr>
          <w:b/>
          <w:i/>
          <w:sz w:val="19"/>
        </w:rPr>
        <w:t>Lavashni’s stated understanding</w:t>
      </w:r>
    </w:p>
    <w:p>
      <w:pPr>
        <w:pStyle w:val="ListBullet"/>
        <w:spacing w:after="60"/>
      </w:pPr>
      <w:r>
        <w:rPr>
          <w:sz w:val="20"/>
        </w:rPr>
        <w:t>Lavashni understands this KPI as rewarding operational excellence in line with the strategy to mine higher-quality diamonds.</w:t>
      </w:r>
    </w:p>
    <w:p>
      <w:pPr>
        <w:pStyle w:val="ListBullet"/>
        <w:spacing w:after="60"/>
      </w:pPr>
      <w:r>
        <w:rPr>
          <w:sz w:val="20"/>
        </w:rPr>
        <w:t>Her understanding is correct, because this KPI is genuinely aligned to the value-led strategy of prioritising quality over quantity.</w:t>
      </w:r>
    </w:p>
    <w:p>
      <w:pPr>
        <w:spacing w:before="60" w:after="20"/>
      </w:pPr>
      <w:r>
        <w:rPr>
          <w:b/>
          <w:i/>
          <w:sz w:val="19"/>
        </w:rPr>
        <w:t>Positive points of the KPI</w:t>
      </w:r>
    </w:p>
    <w:p>
      <w:pPr>
        <w:pStyle w:val="ListBullet"/>
        <w:spacing w:after="60"/>
      </w:pPr>
      <w:r>
        <w:rPr>
          <w:sz w:val="20"/>
        </w:rPr>
        <w:t>It directly supports the stated strategy of recovering the highest-value diamonds rather than the most carats.</w:t>
      </w:r>
    </w:p>
    <w:p>
      <w:pPr>
        <w:pStyle w:val="ListBullet"/>
        <w:spacing w:after="60"/>
      </w:pPr>
      <w:r>
        <w:rPr>
          <w:sz w:val="20"/>
        </w:rPr>
        <w:t>It fits the way Diamante sells, because parcels are sorted by characteristics and sold on tender with a minimum reserve price.</w:t>
      </w:r>
    </w:p>
    <w:p>
      <w:pPr>
        <w:spacing w:before="60" w:after="20"/>
      </w:pPr>
      <w:r>
        <w:rPr>
          <w:b/>
          <w:i/>
          <w:sz w:val="19"/>
        </w:rPr>
        <w:t>Negative points of the KPI</w:t>
      </w:r>
    </w:p>
    <w:p>
      <w:pPr>
        <w:pStyle w:val="ListBullet"/>
        <w:spacing w:after="60"/>
      </w:pPr>
      <w:r>
        <w:rPr>
          <w:sz w:val="20"/>
        </w:rPr>
        <w:t>The proportion of high-value stones is heavily dependent on geology, so it is only partly controllable.</w:t>
      </w:r>
    </w:p>
    <w:p>
      <w:pPr>
        <w:pStyle w:val="ListBullet"/>
        <w:spacing w:after="60"/>
      </w:pPr>
      <w:r>
        <w:rPr>
          <w:sz w:val="20"/>
        </w:rPr>
        <w:t>The term "high-value" is subjective and can be redefined to hit the target unless it is tightly and independently defined.</w:t>
      </w:r>
    </w:p>
    <w:p>
      <w:pPr>
        <w:pStyle w:val="ListBullet"/>
        <w:spacing w:after="60"/>
      </w:pPr>
      <w:r>
        <w:rPr>
          <w:sz w:val="20"/>
        </w:rPr>
        <w:t>It can encourage high-grading, where managers mine only the richest areas and sterilise the lower-grade development block in Mine 1, destroying long-term resource value.</w:t>
      </w:r>
    </w:p>
    <w:p>
      <w:pPr>
        <w:spacing w:before="60" w:after="20"/>
      </w:pPr>
      <w:r>
        <w:rPr>
          <w:b/>
          <w:i/>
          <w:sz w:val="19"/>
        </w:rPr>
        <w:t>Is her understanding correct?</w:t>
      </w:r>
    </w:p>
    <w:p>
      <w:pPr>
        <w:pStyle w:val="ListBullet"/>
        <w:spacing w:after="60"/>
      </w:pPr>
      <w:r>
        <w:rPr>
          <w:sz w:val="20"/>
        </w:rPr>
        <w:t>She is correct that it rewards the quality strategy, and this is the best-designed of the five KPIs.</w:t>
      </w:r>
    </w:p>
    <w:p>
      <w:pPr>
        <w:pStyle w:val="ListBullet"/>
        <w:spacing w:after="60"/>
      </w:pPr>
      <w:r>
        <w:rPr>
          <w:sz w:val="20"/>
        </w:rPr>
        <w:t>She may not appreciate that it can be gamed through high-grading and that it is partly outside management’s control.</w:t>
      </w:r>
    </w:p>
    <w:p>
      <w:pPr>
        <w:spacing w:before="60" w:after="20"/>
      </w:pPr>
      <w:r>
        <w:rPr>
          <w:b/>
          <w:i/>
          <w:sz w:val="19"/>
        </w:rPr>
        <w:t>Recommendation</w:t>
      </w:r>
    </w:p>
    <w:p>
      <w:pPr>
        <w:pStyle w:val="ListBullet"/>
        <w:spacing w:after="60"/>
      </w:pPr>
      <w:r>
        <w:rPr>
          <w:sz w:val="20"/>
        </w:rPr>
        <w:t>Keep it but define "high-value" against an objective threshold verified through the tender records, and add a guardrail requiring the independent geologist to confirm that no economically viable block has been sterilised.</w:t>
      </w:r>
    </w:p>
    <w:p>
      <w:pPr>
        <w:spacing w:before="120" w:after="20"/>
      </w:pPr>
      <w:r>
        <w:rPr>
          <w:b/>
          <w:color w:val="1F3D6B"/>
          <w:sz w:val="22"/>
        </w:rPr>
        <w:t>KPI 4 — Reduction in inventories</w:t>
      </w:r>
    </w:p>
    <w:p>
      <w:pPr>
        <w:spacing w:before="60" w:after="20"/>
      </w:pPr>
      <w:r>
        <w:rPr>
          <w:b/>
          <w:i/>
          <w:sz w:val="19"/>
        </w:rPr>
        <w:t>Lavashni’s stated understanding</w:t>
      </w:r>
    </w:p>
    <w:p>
      <w:pPr>
        <w:pStyle w:val="ListBullet"/>
        <w:spacing w:after="60"/>
      </w:pPr>
      <w:r>
        <w:rPr>
          <w:sz w:val="20"/>
        </w:rPr>
        <w:t>Lavashni understands this KPI as freeing up cash for shareholders.</w:t>
      </w:r>
    </w:p>
    <w:p>
      <w:pPr>
        <w:pStyle w:val="ListBullet"/>
        <w:spacing w:after="60"/>
      </w:pPr>
      <w:r>
        <w:rPr>
          <w:sz w:val="20"/>
        </w:rPr>
        <w:t>Her understanding is only partly correct, because reducing inventory does release cash but it conflicts with the company’s selling strategy and mainly benefits liquidity rather than shareholders directly.</w:t>
      </w:r>
    </w:p>
    <w:p>
      <w:pPr>
        <w:spacing w:before="60" w:after="20"/>
      </w:pPr>
      <w:r>
        <w:rPr>
          <w:b/>
          <w:i/>
          <w:sz w:val="19"/>
        </w:rPr>
        <w:t>Positive points of the KPI</w:t>
      </w:r>
    </w:p>
    <w:p>
      <w:pPr>
        <w:pStyle w:val="ListBullet"/>
        <w:spacing w:after="60"/>
      </w:pPr>
      <w:r>
        <w:rPr>
          <w:sz w:val="20"/>
        </w:rPr>
        <w:t>It is relevant to the liquidity crisis, because inventory of R315m ties up cash that the company badly needs.</w:t>
      </w:r>
    </w:p>
    <w:p>
      <w:pPr>
        <w:spacing w:before="60" w:after="20"/>
      </w:pPr>
      <w:r>
        <w:rPr>
          <w:b/>
          <w:i/>
          <w:sz w:val="19"/>
        </w:rPr>
        <w:t>Negative points of the KPI</w:t>
      </w:r>
    </w:p>
    <w:p>
      <w:pPr>
        <w:pStyle w:val="ListBullet"/>
        <w:spacing w:after="60"/>
      </w:pPr>
      <w:r>
        <w:rPr>
          <w:sz w:val="20"/>
        </w:rPr>
        <w:t>It directly contradicts the strategy of deferring tenders when prices are weak, because it pushes management to sell diamonds into a weak market and erode the realised price.</w:t>
      </w:r>
    </w:p>
    <w:p>
      <w:pPr>
        <w:pStyle w:val="ListBullet"/>
        <w:spacing w:after="60"/>
      </w:pPr>
      <w:r>
        <w:rPr>
          <w:sz w:val="20"/>
        </w:rPr>
        <w:t>It can be met in the wrong way, for example through write-downs or by simply mining less.</w:t>
      </w:r>
    </w:p>
    <w:p>
      <w:pPr>
        <w:pStyle w:val="ListBullet"/>
        <w:spacing w:after="60"/>
      </w:pPr>
      <w:r>
        <w:rPr>
          <w:sz w:val="20"/>
        </w:rPr>
        <w:t>Freeing cash currently benefits creditors and the refinancing more than shareholders, because no dividends are being paid.</w:t>
      </w:r>
    </w:p>
    <w:p>
      <w:pPr>
        <w:spacing w:before="60" w:after="20"/>
      </w:pPr>
      <w:r>
        <w:rPr>
          <w:b/>
          <w:i/>
          <w:sz w:val="19"/>
        </w:rPr>
        <w:t>Is her understanding correct?</w:t>
      </w:r>
    </w:p>
    <w:p>
      <w:pPr>
        <w:pStyle w:val="ListBullet"/>
        <w:spacing w:after="60"/>
      </w:pPr>
      <w:r>
        <w:rPr>
          <w:sz w:val="20"/>
        </w:rPr>
        <w:t>She is right that it frees up cash, but she is wrong to frame it as a direct shareholder benefit and she has not seen that it conflicts with the value-led selling strategy.</w:t>
      </w:r>
    </w:p>
    <w:p>
      <w:pPr>
        <w:spacing w:before="60" w:after="20"/>
      </w:pPr>
      <w:r>
        <w:rPr>
          <w:b/>
          <w:i/>
          <w:sz w:val="19"/>
        </w:rPr>
        <w:t>Recommendation</w:t>
      </w:r>
    </w:p>
    <w:p>
      <w:pPr>
        <w:pStyle w:val="ListBullet"/>
        <w:spacing w:after="60"/>
      </w:pPr>
      <w:r>
        <w:rPr>
          <w:sz w:val="20"/>
        </w:rPr>
        <w:t>Replace it with a free cash flow or cash-conversion measure, so that cash is released without forcing diamonds into a weak market.</w:t>
      </w:r>
    </w:p>
    <w:p>
      <w:pPr>
        <w:spacing w:before="120" w:after="20"/>
      </w:pPr>
      <w:r>
        <w:rPr>
          <w:b/>
          <w:color w:val="1F3D6B"/>
          <w:sz w:val="22"/>
        </w:rPr>
        <w:t>KPI 5 — EY Excellence in integrated reporting rating</w:t>
      </w:r>
    </w:p>
    <w:p>
      <w:pPr>
        <w:spacing w:before="60" w:after="20"/>
      </w:pPr>
      <w:r>
        <w:rPr>
          <w:b/>
          <w:i/>
          <w:sz w:val="19"/>
        </w:rPr>
        <w:t>Lavashni’s stated understanding</w:t>
      </w:r>
    </w:p>
    <w:p>
      <w:pPr>
        <w:pStyle w:val="ListBullet"/>
        <w:spacing w:after="60"/>
      </w:pPr>
      <w:r>
        <w:rPr>
          <w:sz w:val="20"/>
        </w:rPr>
        <w:t>Lavashni understands this KPI as representing ESG excellence.</w:t>
      </w:r>
    </w:p>
    <w:p>
      <w:pPr>
        <w:pStyle w:val="ListBullet"/>
        <w:spacing w:after="60"/>
      </w:pPr>
      <w:r>
        <w:rPr>
          <w:sz w:val="20"/>
        </w:rPr>
        <w:t>Her understanding is incorrect, because the rating measures the quality of the report rather than the company’s actual ESG performance.</w:t>
      </w:r>
    </w:p>
    <w:p>
      <w:pPr>
        <w:spacing w:before="60" w:after="20"/>
      </w:pPr>
      <w:r>
        <w:rPr>
          <w:b/>
          <w:i/>
          <w:sz w:val="19"/>
        </w:rPr>
        <w:t>Positive points of the KPI</w:t>
      </w:r>
    </w:p>
    <w:p>
      <w:pPr>
        <w:pStyle w:val="ListBullet"/>
        <w:spacing w:after="60"/>
      </w:pPr>
      <w:r>
        <w:rPr>
          <w:sz w:val="20"/>
        </w:rPr>
        <w:t>It encourages integrated thinking, transparency and good disclosure, which supports King IV.</w:t>
      </w:r>
    </w:p>
    <w:p>
      <w:pPr>
        <w:spacing w:before="60" w:after="20"/>
      </w:pPr>
      <w:r>
        <w:rPr>
          <w:b/>
          <w:i/>
          <w:sz w:val="19"/>
        </w:rPr>
        <w:t>Negative points of the KPI</w:t>
      </w:r>
    </w:p>
    <w:p>
      <w:pPr>
        <w:pStyle w:val="ListBullet"/>
        <w:spacing w:after="60"/>
      </w:pPr>
      <w:r>
        <w:rPr>
          <w:sz w:val="20"/>
        </w:rPr>
        <w:t>A high reporting rating can be achieved through good disclosure and consultants rather than through real improvements in emissions, tailings safety or rehabilitation, which is a greenwashing risk.</w:t>
      </w:r>
    </w:p>
    <w:p>
      <w:pPr>
        <w:pStyle w:val="ListBullet"/>
        <w:spacing w:after="60"/>
      </w:pPr>
      <w:r>
        <w:rPr>
          <w:sz w:val="20"/>
        </w:rPr>
        <w:t>It is an external and subjective award that is largely outside management’s direct control.</w:t>
      </w:r>
    </w:p>
    <w:p>
      <w:pPr>
        <w:pStyle w:val="ListBullet"/>
        <w:spacing w:after="60"/>
      </w:pPr>
      <w:r>
        <w:rPr>
          <w:sz w:val="20"/>
        </w:rPr>
        <w:t>It is a single, narrow proxy for a very broad ESG agenda.</w:t>
      </w:r>
    </w:p>
    <w:p>
      <w:pPr>
        <w:spacing w:before="60" w:after="20"/>
      </w:pPr>
      <w:r>
        <w:rPr>
          <w:b/>
          <w:i/>
          <w:sz w:val="19"/>
        </w:rPr>
        <w:t>Is her understanding correct?</w:t>
      </w:r>
    </w:p>
    <w:p>
      <w:pPr>
        <w:pStyle w:val="ListBullet"/>
        <w:spacing w:after="60"/>
      </w:pPr>
      <w:r>
        <w:rPr>
          <w:sz w:val="20"/>
        </w:rPr>
        <w:t>She is incorrect to treat a reporting award as ESG excellence, because good reporting does not mean good ESG performance.</w:t>
      </w:r>
    </w:p>
    <w:p>
      <w:pPr>
        <w:spacing w:before="60" w:after="20"/>
      </w:pPr>
      <w:r>
        <w:rPr>
          <w:b/>
          <w:i/>
          <w:sz w:val="19"/>
        </w:rPr>
        <w:t>Recommendation</w:t>
      </w:r>
    </w:p>
    <w:p>
      <w:pPr>
        <w:pStyle w:val="ListBullet"/>
        <w:spacing w:after="60"/>
      </w:pPr>
      <w:r>
        <w:rPr>
          <w:sz w:val="20"/>
        </w:rPr>
        <w:t>Replace or supplement it with hard ESG outcomes, such as the injury frequency rate, tailings and rehabilitation compliance, and greenhouse gas reductions measured against the 35–40% Scope 1 and 2 roadmap.</w:t>
      </w:r>
    </w:p>
    <w:p>
      <w:pPr>
        <w:spacing w:before="120" w:after="20"/>
      </w:pPr>
      <w:r>
        <w:rPr>
          <w:b/>
          <w:color w:val="1F3D6B"/>
          <w:sz w:val="22"/>
        </w:rPr>
        <w:t>Summary of the KPI evaluation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736"/>
            <w:shd w:val="clear" w:fill="1f3d6b"/>
          </w:tcPr>
          <w:p>
            <w:r/>
            <w:r>
              <w:rPr>
                <w:b/>
                <w:color w:val="FFFFFF"/>
                <w:sz w:val="18"/>
              </w:rPr>
              <w:t>KPI</w:t>
            </w:r>
          </w:p>
        </w:tc>
        <w:tc>
          <w:tcPr>
            <w:tcW w:type="dxa" w:w="2448"/>
            <w:shd w:val="clear" w:fill="1f3d6b"/>
          </w:tcPr>
          <w:p>
            <w:r/>
            <w:r>
              <w:rPr>
                <w:b/>
                <w:color w:val="FFFFFF"/>
                <w:sz w:val="18"/>
              </w:rPr>
              <w:t>Her understanding</w:t>
            </w:r>
          </w:p>
        </w:tc>
        <w:tc>
          <w:tcPr>
            <w:tcW w:type="dxa" w:w="2016"/>
            <w:shd w:val="clear" w:fill="1f3d6b"/>
          </w:tcPr>
          <w:p>
            <w:r/>
            <w:r>
              <w:rPr>
                <w:b/>
                <w:color w:val="FFFFFF"/>
                <w:sz w:val="18"/>
              </w:rPr>
              <w:t>Is it correct?</w:t>
            </w:r>
          </w:p>
        </w:tc>
        <w:tc>
          <w:tcPr>
            <w:tcW w:type="dxa" w:w="3168"/>
            <w:shd w:val="clear" w:fill="1f3d6b"/>
          </w:tcPr>
          <w:p>
            <w:r/>
            <w:r>
              <w:rPr>
                <w:b/>
                <w:color w:val="FFFFFF"/>
                <w:sz w:val="18"/>
              </w:rPr>
              <w:t>Better measure</w:t>
            </w:r>
          </w:p>
        </w:tc>
      </w:tr>
      <w:tr>
        <w:tc>
          <w:tcPr>
            <w:tcW w:type="dxa" w:w="2736"/>
          </w:tcPr>
          <w:p>
            <w:r/>
            <w:r>
              <w:rPr>
                <w:sz w:val="18"/>
              </w:rPr>
              <w:t>1. Cost growth &lt; inflation</w:t>
            </w:r>
          </w:p>
        </w:tc>
        <w:tc>
          <w:tcPr>
            <w:tcW w:type="dxa" w:w="2448"/>
          </w:tcPr>
          <w:p>
            <w:r/>
            <w:r>
              <w:rPr>
                <w:sz w:val="18"/>
              </w:rPr>
              <w:t>Cost control</w:t>
            </w:r>
          </w:p>
        </w:tc>
        <w:tc>
          <w:tcPr>
            <w:tcW w:type="dxa" w:w="2016"/>
          </w:tcPr>
          <w:p>
            <w:r/>
            <w:r>
              <w:rPr>
                <w:sz w:val="18"/>
              </w:rPr>
              <w:t>Broadly correct</w:t>
            </w:r>
          </w:p>
        </w:tc>
        <w:tc>
          <w:tcPr>
            <w:tcW w:type="dxa" w:w="3168"/>
          </w:tcPr>
          <w:p>
            <w:r/>
            <w:r>
              <w:rPr>
                <w:sz w:val="18"/>
              </w:rPr>
              <w:t>Cost per carat vs budget</w:t>
            </w:r>
          </w:p>
        </w:tc>
      </w:tr>
      <w:tr>
        <w:tc>
          <w:tcPr>
            <w:tcW w:type="dxa" w:w="2736"/>
          </w:tcPr>
          <w:p>
            <w:r/>
            <w:r>
              <w:rPr>
                <w:sz w:val="18"/>
              </w:rPr>
              <w:t>2. Net profit growth ≥ 5%</w:t>
            </w:r>
          </w:p>
        </w:tc>
        <w:tc>
          <w:tcPr>
            <w:tcW w:type="dxa" w:w="2448"/>
          </w:tcPr>
          <w:p>
            <w:r/>
            <w:r>
              <w:rPr>
                <w:sz w:val="18"/>
              </w:rPr>
              <w:t>Shareholders benefit</w:t>
            </w:r>
          </w:p>
        </w:tc>
        <w:tc>
          <w:tcPr>
            <w:tcW w:type="dxa" w:w="2016"/>
          </w:tcPr>
          <w:p>
            <w:r/>
            <w:r>
              <w:rPr>
                <w:sz w:val="18"/>
              </w:rPr>
              <w:t>Largely incorrect</w:t>
            </w:r>
          </w:p>
        </w:tc>
        <w:tc>
          <w:tcPr>
            <w:tcW w:type="dxa" w:w="3168"/>
          </w:tcPr>
          <w:p>
            <w:r/>
            <w:r>
              <w:rPr>
                <w:sz w:val="18"/>
              </w:rPr>
              <w:t>Residual income / EVA / free cash flow</w:t>
            </w:r>
          </w:p>
        </w:tc>
      </w:tr>
      <w:tr>
        <w:tc>
          <w:tcPr>
            <w:tcW w:type="dxa" w:w="2736"/>
          </w:tcPr>
          <w:p>
            <w:r/>
            <w:r>
              <w:rPr>
                <w:sz w:val="18"/>
              </w:rPr>
              <w:t>3. High-value diamond %</w:t>
            </w:r>
          </w:p>
        </w:tc>
        <w:tc>
          <w:tcPr>
            <w:tcW w:type="dxa" w:w="2448"/>
          </w:tcPr>
          <w:p>
            <w:r/>
            <w:r>
              <w:rPr>
                <w:sz w:val="18"/>
              </w:rPr>
              <w:t>Operational excellence</w:t>
            </w:r>
          </w:p>
        </w:tc>
        <w:tc>
          <w:tcPr>
            <w:tcW w:type="dxa" w:w="2016"/>
          </w:tcPr>
          <w:p>
            <w:r/>
            <w:r>
              <w:rPr>
                <w:sz w:val="18"/>
              </w:rPr>
              <w:t>Correct</w:t>
            </w:r>
          </w:p>
        </w:tc>
        <w:tc>
          <w:tcPr>
            <w:tcW w:type="dxa" w:w="3168"/>
          </w:tcPr>
          <w:p>
            <w:r/>
            <w:r>
              <w:rPr>
                <w:sz w:val="18"/>
              </w:rPr>
              <w:t>Same, with a definition and anti-sterilisation guardrail</w:t>
            </w:r>
          </w:p>
        </w:tc>
      </w:tr>
      <w:tr>
        <w:tc>
          <w:tcPr>
            <w:tcW w:type="dxa" w:w="2736"/>
          </w:tcPr>
          <w:p>
            <w:r/>
            <w:r>
              <w:rPr>
                <w:sz w:val="18"/>
              </w:rPr>
              <w:t>4. Reduction in inventories</w:t>
            </w:r>
          </w:p>
        </w:tc>
        <w:tc>
          <w:tcPr>
            <w:tcW w:type="dxa" w:w="2448"/>
          </w:tcPr>
          <w:p>
            <w:r/>
            <w:r>
              <w:rPr>
                <w:sz w:val="18"/>
              </w:rPr>
              <w:t>Frees cash for shareholders</w:t>
            </w:r>
          </w:p>
        </w:tc>
        <w:tc>
          <w:tcPr>
            <w:tcW w:type="dxa" w:w="2016"/>
          </w:tcPr>
          <w:p>
            <w:r/>
            <w:r>
              <w:rPr>
                <w:sz w:val="18"/>
              </w:rPr>
              <w:t>Partly correct</w:t>
            </w:r>
          </w:p>
        </w:tc>
        <w:tc>
          <w:tcPr>
            <w:tcW w:type="dxa" w:w="3168"/>
          </w:tcPr>
          <w:p>
            <w:r/>
            <w:r>
              <w:rPr>
                <w:sz w:val="18"/>
              </w:rPr>
              <w:t>Free cash flow / cash conversion</w:t>
            </w:r>
          </w:p>
        </w:tc>
      </w:tr>
      <w:tr>
        <w:tc>
          <w:tcPr>
            <w:tcW w:type="dxa" w:w="2736"/>
          </w:tcPr>
          <w:p>
            <w:r/>
            <w:r>
              <w:rPr>
                <w:sz w:val="18"/>
              </w:rPr>
              <w:t>5. EY reporting rating</w:t>
            </w:r>
          </w:p>
        </w:tc>
        <w:tc>
          <w:tcPr>
            <w:tcW w:type="dxa" w:w="2448"/>
          </w:tcPr>
          <w:p>
            <w:r/>
            <w:r>
              <w:rPr>
                <w:sz w:val="18"/>
              </w:rPr>
              <w:t>ESG excellence</w:t>
            </w:r>
          </w:p>
        </w:tc>
        <w:tc>
          <w:tcPr>
            <w:tcW w:type="dxa" w:w="2016"/>
          </w:tcPr>
          <w:p>
            <w:r/>
            <w:r>
              <w:rPr>
                <w:sz w:val="18"/>
              </w:rPr>
              <w:t>Incorrect</w:t>
            </w:r>
          </w:p>
        </w:tc>
        <w:tc>
          <w:tcPr>
            <w:tcW w:type="dxa" w:w="3168"/>
          </w:tcPr>
          <w:p>
            <w:r/>
            <w:r>
              <w:rPr>
                <w:sz w:val="18"/>
              </w:rPr>
              <w:t>Hard ESG outcomes (safety, rehabilitation, emissions)</w:t>
            </w:r>
          </w:p>
        </w:tc>
      </w:tr>
    </w:tbl>
    <w:p>
      <w:pPr>
        <w:spacing w:before="200" w:after="40"/>
        <w:pBdr>
          <w:bottom w:val="single" w:sz="6" w:space="2" w:color="808080"/>
        </w:pBdr>
      </w:pPr>
      <w:r>
        <w:rPr>
          <w:b/>
          <w:color w:val="1F3D6B"/>
          <w:sz w:val="26"/>
        </w:rPr>
        <w:t>4. How the KPIs are implemented, evaluated against the long-term incentive goals</w:t>
      </w:r>
    </w:p>
    <w:p>
      <w:pPr>
        <w:pStyle w:val="ListBullet"/>
        <w:spacing w:after="60"/>
      </w:pPr>
      <w:r>
        <w:rPr>
          <w:sz w:val="20"/>
        </w:rPr>
        <w:t>The long-term goals of the scheme are to retain key management, align them with long-term shareholder value, and drive the recovery and value-led strategy through the downturn and refinancing.</w:t>
      </w:r>
    </w:p>
    <w:p>
      <w:pPr>
        <w:pStyle w:val="ListBullet"/>
        <w:spacing w:after="60"/>
      </w:pPr>
      <w:r>
        <w:rPr>
          <w:sz w:val="20"/>
        </w:rPr>
        <w:t>The vehicle is genuinely long-term, because the reward is in shares that vest over three years, and the number of shares is set on the share price at vesting, which links the final reward to long-term share performance.</w:t>
      </w:r>
    </w:p>
    <w:p>
      <w:pPr>
        <w:pStyle w:val="ListBullet"/>
        <w:spacing w:after="60"/>
      </w:pPr>
      <w:r>
        <w:rPr>
          <w:sz w:val="20"/>
        </w:rPr>
        <w:t>However, the KPIs themselves are mostly annual and short-term, which pulls against the long-term intention of the vehicle.</w:t>
      </w:r>
    </w:p>
    <w:p>
      <w:pPr>
        <w:pStyle w:val="ListBullet"/>
        <w:spacing w:after="60"/>
      </w:pPr>
      <w:r>
        <w:rPr>
          <w:sz w:val="20"/>
        </w:rPr>
        <w:t>Several KPIs can be met through short-term actions that damage long-term value, such as cutting development spend, dumping inventory, or high-grading the ore body.</w:t>
      </w:r>
    </w:p>
    <w:p>
      <w:pPr>
        <w:pStyle w:val="ListBullet"/>
        <w:spacing w:after="60"/>
      </w:pPr>
      <w:r>
        <w:rPr>
          <w:sz w:val="20"/>
        </w:rPr>
        <w:t>One KPI (net profit growth) is unachievable now, so that portion of the scheme may never vest, which weakens the retention and motivation objective.</w:t>
      </w:r>
    </w:p>
    <w:p>
      <w:pPr>
        <w:pStyle w:val="ListBullet"/>
        <w:spacing w:after="60"/>
      </w:pPr>
      <w:r>
        <w:rPr>
          <w:sz w:val="20"/>
        </w:rPr>
        <w:t>There is no measure of the real long-term priority, which is survival, cash generation and completing the refinancing.</w:t>
      </w:r>
    </w:p>
    <w:p>
      <w:pPr>
        <w:pStyle w:val="ListBullet"/>
        <w:spacing w:after="60"/>
      </w:pPr>
      <w:r>
        <w:rPr>
          <w:sz w:val="20"/>
        </w:rPr>
        <w:t>There is also no safety or environmental measure, even though these protect long-term value and the licence to operate.</w:t>
      </w:r>
    </w:p>
    <w:p>
      <w:pPr>
        <w:pStyle w:val="ListBullet"/>
        <w:spacing w:after="60"/>
      </w:pPr>
      <w:r>
        <w:rPr>
          <w:sz w:val="20"/>
        </w:rPr>
        <w:t>On balance, the implementation only partly serves the long-term goals, because the long-term vehicle is undermined by short-term, gameable and unachievable performance conditions.</w:t>
      </w:r>
    </w:p>
    <w:p>
      <w:pPr>
        <w:spacing w:before="200" w:after="40"/>
        <w:pBdr>
          <w:bottom w:val="single" w:sz="6" w:space="2" w:color="808080"/>
        </w:pBdr>
      </w:pPr>
      <w:r>
        <w:rPr>
          <w:b/>
          <w:color w:val="1F3D6B"/>
          <w:sz w:val="26"/>
        </w:rPr>
        <w:t>5. Are the KPIs aligned with Diamante’s strategy and with the incentive scheme?</w:t>
      </w:r>
    </w:p>
    <w:p>
      <w:pPr>
        <w:spacing w:before="120" w:after="20"/>
      </w:pPr>
      <w:r>
        <w:rPr>
          <w:b/>
          <w:color w:val="1F3D6B"/>
          <w:sz w:val="22"/>
        </w:rPr>
        <w:t>Alignment with Diamante’s overall strategy</w:t>
      </w:r>
    </w:p>
    <w:tbl>
      <w:tblPr>
        <w:tblStyle w:val="TableGrid"/>
        <w:tblW w:type="auto" w:w="0"/>
        <w:jc w:val="center"/>
        <w:tblLook w:firstColumn="1" w:firstRow="1" w:lastColumn="0" w:lastRow="0" w:noHBand="0" w:noVBand="1" w:val="04A0"/>
      </w:tblPr>
      <w:tblGrid>
        <w:gridCol w:w="3456"/>
        <w:gridCol w:w="3456"/>
        <w:gridCol w:w="3456"/>
      </w:tblGrid>
      <w:tr>
        <w:tc>
          <w:tcPr>
            <w:tcW w:type="dxa" w:w="3744"/>
            <w:shd w:val="clear" w:fill="1f3d6b"/>
          </w:tcPr>
          <w:p>
            <w:r/>
            <w:r>
              <w:rPr>
                <w:b/>
                <w:color w:val="FFFFFF"/>
                <w:sz w:val="18"/>
              </w:rPr>
              <w:t>Strategic priority</w:t>
            </w:r>
          </w:p>
        </w:tc>
        <w:tc>
          <w:tcPr>
            <w:tcW w:type="dxa" w:w="1584"/>
            <w:shd w:val="clear" w:fill="1f3d6b"/>
          </w:tcPr>
          <w:p>
            <w:r/>
            <w:r>
              <w:rPr>
                <w:b/>
                <w:color w:val="FFFFFF"/>
                <w:sz w:val="18"/>
              </w:rPr>
              <w:t>Aligned KPI?</w:t>
            </w:r>
          </w:p>
        </w:tc>
        <w:tc>
          <w:tcPr>
            <w:tcW w:type="dxa" w:w="5040"/>
            <w:shd w:val="clear" w:fill="1f3d6b"/>
          </w:tcPr>
          <w:p>
            <w:r/>
            <w:r>
              <w:rPr>
                <w:b/>
                <w:color w:val="FFFFFF"/>
                <w:sz w:val="18"/>
              </w:rPr>
              <w:t>Comment</w:t>
            </w:r>
          </w:p>
        </w:tc>
      </w:tr>
      <w:tr>
        <w:tc>
          <w:tcPr>
            <w:tcW w:type="dxa" w:w="3744"/>
          </w:tcPr>
          <w:p>
            <w:r/>
            <w:r>
              <w:rPr>
                <w:sz w:val="18"/>
              </w:rPr>
              <w:t>Value-led production (quality over quantity)</w:t>
            </w:r>
          </w:p>
        </w:tc>
        <w:tc>
          <w:tcPr>
            <w:tcW w:type="dxa" w:w="1584"/>
          </w:tcPr>
          <w:p>
            <w:r/>
            <w:r>
              <w:rPr>
                <w:sz w:val="18"/>
              </w:rPr>
              <w:t>Partly</w:t>
            </w:r>
          </w:p>
        </w:tc>
        <w:tc>
          <w:tcPr>
            <w:tcW w:type="dxa" w:w="5040"/>
          </w:tcPr>
          <w:p>
            <w:r/>
            <w:r>
              <w:rPr>
                <w:sz w:val="18"/>
              </w:rPr>
              <w:t>KPI 3 aligns well; the others do not clearly reward quality</w:t>
            </w:r>
          </w:p>
        </w:tc>
      </w:tr>
      <w:tr>
        <w:tc>
          <w:tcPr>
            <w:tcW w:type="dxa" w:w="3744"/>
          </w:tcPr>
          <w:p>
            <w:r/>
            <w:r>
              <w:rPr>
                <w:sz w:val="18"/>
              </w:rPr>
              <w:t>Survival / going concern / refinancing</w:t>
            </w:r>
          </w:p>
        </w:tc>
        <w:tc>
          <w:tcPr>
            <w:tcW w:type="dxa" w:w="1584"/>
          </w:tcPr>
          <w:p>
            <w:r/>
            <w:r>
              <w:rPr>
                <w:sz w:val="18"/>
              </w:rPr>
              <w:t>No</w:t>
            </w:r>
          </w:p>
        </w:tc>
        <w:tc>
          <w:tcPr>
            <w:tcW w:type="dxa" w:w="5040"/>
          </w:tcPr>
          <w:p>
            <w:r/>
            <w:r>
              <w:rPr>
                <w:sz w:val="18"/>
              </w:rPr>
              <w:t>No cash, net-debt or liquidity KPI, despite this being the top priority</w:t>
            </w:r>
          </w:p>
        </w:tc>
      </w:tr>
      <w:tr>
        <w:tc>
          <w:tcPr>
            <w:tcW w:type="dxa" w:w="3744"/>
          </w:tcPr>
          <w:p>
            <w:r/>
            <w:r>
              <w:rPr>
                <w:sz w:val="18"/>
              </w:rPr>
              <w:t>Deferring tenders when prices are weak</w:t>
            </w:r>
          </w:p>
        </w:tc>
        <w:tc>
          <w:tcPr>
            <w:tcW w:type="dxa" w:w="1584"/>
          </w:tcPr>
          <w:p>
            <w:r/>
            <w:r>
              <w:rPr>
                <w:sz w:val="18"/>
              </w:rPr>
              <w:t>Conflicts</w:t>
            </w:r>
          </w:p>
        </w:tc>
        <w:tc>
          <w:tcPr>
            <w:tcW w:type="dxa" w:w="5040"/>
          </w:tcPr>
          <w:p>
            <w:r/>
            <w:r>
              <w:rPr>
                <w:sz w:val="18"/>
              </w:rPr>
              <w:t>KPI 4 pushes selling into a weak market, against the strategy</w:t>
            </w:r>
          </w:p>
        </w:tc>
      </w:tr>
      <w:tr>
        <w:tc>
          <w:tcPr>
            <w:tcW w:type="dxa" w:w="3744"/>
          </w:tcPr>
          <w:p>
            <w:r/>
            <w:r>
              <w:rPr>
                <w:sz w:val="18"/>
              </w:rPr>
              <w:t>Cost discipline / capital allocation</w:t>
            </w:r>
          </w:p>
        </w:tc>
        <w:tc>
          <w:tcPr>
            <w:tcW w:type="dxa" w:w="1584"/>
          </w:tcPr>
          <w:p>
            <w:r/>
            <w:r>
              <w:rPr>
                <w:sz w:val="18"/>
              </w:rPr>
              <w:t>Partly</w:t>
            </w:r>
          </w:p>
        </w:tc>
        <w:tc>
          <w:tcPr>
            <w:tcW w:type="dxa" w:w="5040"/>
          </w:tcPr>
          <w:p>
            <w:r/>
            <w:r>
              <w:rPr>
                <w:sz w:val="18"/>
              </w:rPr>
              <w:t>KPI 1 targets cost but as a low, blunt bar</w:t>
            </w:r>
          </w:p>
        </w:tc>
      </w:tr>
      <w:tr>
        <w:tc>
          <w:tcPr>
            <w:tcW w:type="dxa" w:w="3744"/>
          </w:tcPr>
          <w:p>
            <w:r/>
            <w:r>
              <w:rPr>
                <w:sz w:val="18"/>
              </w:rPr>
              <w:t>ESG and climate resilience</w:t>
            </w:r>
          </w:p>
        </w:tc>
        <w:tc>
          <w:tcPr>
            <w:tcW w:type="dxa" w:w="1584"/>
          </w:tcPr>
          <w:p>
            <w:r/>
            <w:r>
              <w:rPr>
                <w:sz w:val="18"/>
              </w:rPr>
              <w:t>Weakly</w:t>
            </w:r>
          </w:p>
        </w:tc>
        <w:tc>
          <w:tcPr>
            <w:tcW w:type="dxa" w:w="5040"/>
          </w:tcPr>
          <w:p>
            <w:r/>
            <w:r>
              <w:rPr>
                <w:sz w:val="18"/>
              </w:rPr>
              <w:t>KPI 5 rewards reporting, not real ESG outcomes</w:t>
            </w:r>
          </w:p>
        </w:tc>
      </w:tr>
    </w:tbl>
    <w:p>
      <w:pPr>
        <w:pStyle w:val="ListBullet"/>
        <w:spacing w:after="60"/>
      </w:pPr>
      <w:r>
        <w:rPr>
          <w:sz w:val="20"/>
        </w:rPr>
        <w:t>Overall, the KPIs are only partly aligned with the strategy, because only one KPI clearly supports the value-led strategy, one actively conflicts with it, and the central priority of survival is not measured at all.</w:t>
      </w:r>
    </w:p>
    <w:p>
      <w:pPr>
        <w:spacing w:before="120" w:after="20"/>
      </w:pPr>
      <w:r>
        <w:rPr>
          <w:b/>
          <w:color w:val="1F3D6B"/>
          <w:sz w:val="22"/>
        </w:rPr>
        <w:t>Alignment with the long-term incentive scheme’s own goals</w:t>
      </w:r>
    </w:p>
    <w:p>
      <w:pPr>
        <w:pStyle w:val="ListBullet"/>
        <w:spacing w:after="60"/>
      </w:pPr>
      <w:r>
        <w:rPr>
          <w:sz w:val="20"/>
        </w:rPr>
        <w:t>The share-based, three-year vehicle is well aligned to a long-term goal in form, because it defers reward and ties it to the share price.</w:t>
      </w:r>
    </w:p>
    <w:p>
      <w:pPr>
        <w:pStyle w:val="ListBullet"/>
        <w:spacing w:after="60"/>
      </w:pPr>
      <w:r>
        <w:rPr>
          <w:sz w:val="20"/>
        </w:rPr>
        <w:t>The performance conditions are not aligned to that long-term goal in substance, because they are largely annual, gameable and, in one case, unachievable.</w:t>
      </w:r>
    </w:p>
    <w:p>
      <w:pPr>
        <w:pStyle w:val="ListBullet"/>
        <w:spacing w:after="60"/>
      </w:pPr>
      <w:r>
        <w:rPr>
          <w:sz w:val="20"/>
        </w:rPr>
        <w:t>Therefore the scheme is internally inconsistent, because a long-term vehicle is being driven by short-term measures.</w:t>
      </w:r>
    </w:p>
    <w:p>
      <w:pPr>
        <w:spacing w:before="120" w:after="20"/>
      </w:pPr>
      <w:r>
        <w:rPr>
          <w:b/>
          <w:color w:val="1F3D6B"/>
          <w:sz w:val="22"/>
        </w:rPr>
        <w:t>Recommended solutions</w:t>
      </w:r>
    </w:p>
    <w:p>
      <w:pPr>
        <w:pStyle w:val="ListBullet"/>
        <w:spacing w:after="60"/>
      </w:pPr>
      <w:r>
        <w:rPr>
          <w:sz w:val="20"/>
        </w:rPr>
        <w:t>Rebuild the KPIs around value and cash measures (residual income, economic value added, free cash flow and net-debt reduction), which reward real long-term value.</w:t>
      </w:r>
    </w:p>
    <w:p>
      <w:pPr>
        <w:pStyle w:val="ListBullet"/>
        <w:spacing w:after="60"/>
      </w:pPr>
      <w:r>
        <w:rPr>
          <w:sz w:val="20"/>
        </w:rPr>
        <w:t>Add a going-concern or refinancing gate, so that no award vests unless the company’s survival is secured.</w:t>
      </w:r>
    </w:p>
    <w:p>
      <w:pPr>
        <w:pStyle w:val="ListBullet"/>
        <w:spacing w:after="60"/>
      </w:pPr>
      <w:r>
        <w:rPr>
          <w:sz w:val="20"/>
        </w:rPr>
        <w:t>Add a balanced-scorecard layer of safety and ESG outcomes, so long-term sustainability is protected.</w:t>
      </w:r>
    </w:p>
    <w:p>
      <w:pPr>
        <w:pStyle w:val="ListBullet"/>
        <w:spacing w:after="60"/>
      </w:pPr>
      <w:r>
        <w:rPr>
          <w:sz w:val="20"/>
        </w:rPr>
        <w:t>Tier the targets by level of responsibility, so executives are judged on group value and mine managers on their own mine’s measures.</w:t>
      </w:r>
    </w:p>
    <w:p>
      <w:pPr>
        <w:pStyle w:val="ListBullet"/>
        <w:spacing w:after="60"/>
      </w:pPr>
      <w:r>
        <w:rPr>
          <w:sz w:val="20"/>
        </w:rPr>
        <w:t>Market-adjust the financial targets against a diamond-price index or peers, so pay reflects real performance rather than the diamond cycle.</w:t>
      </w:r>
    </w:p>
    <w:p>
      <w:pPr>
        <w:pStyle w:val="ListBullet"/>
        <w:spacing w:after="60"/>
      </w:pPr>
      <w:r>
        <w:rPr>
          <w:sz w:val="20"/>
        </w:rPr>
        <w:t>Add malus and clawback provisions and a bonus bank, which are appropriate while the company is loss-making and asking shareholders for a rights issue.</w:t>
      </w:r>
    </w:p>
    <w:p>
      <w:pPr>
        <w:spacing w:before="200" w:after="40"/>
        <w:pBdr>
          <w:bottom w:val="single" w:sz="6" w:space="2" w:color="808080"/>
        </w:pBdr>
      </w:pPr>
      <w:r>
        <w:rPr>
          <w:b/>
          <w:color w:val="1F3D6B"/>
          <w:sz w:val="26"/>
        </w:rPr>
        <w:t>6. IFRS 2 evaluation of the share-based bonus (first bullet of Document 5)</w:t>
      </w:r>
    </w:p>
    <w:p>
      <w:pPr>
        <w:spacing w:before="120" w:after="20"/>
      </w:pPr>
      <w:r>
        <w:rPr>
          <w:b/>
          <w:color w:val="1F3D6B"/>
          <w:sz w:val="22"/>
        </w:rPr>
        <w:t>Classification</w:t>
      </w:r>
    </w:p>
    <w:p>
      <w:pPr>
        <w:pStyle w:val="ListBullet"/>
        <w:spacing w:after="60"/>
      </w:pPr>
      <w:r>
        <w:rPr>
          <w:sz w:val="20"/>
        </w:rPr>
        <w:t>The bonus is settled by delivering the company’s own shares, so in form it is an equity-settled share-based payment under IFRS 2.</w:t>
      </w:r>
    </w:p>
    <w:p>
      <w:pPr>
        <w:pStyle w:val="ListBullet"/>
        <w:spacing w:after="60"/>
      </w:pPr>
      <w:r>
        <w:rPr>
          <w:sz w:val="20"/>
        </w:rPr>
        <w:t>However, the number of shares is set at vesting to deliver a fixed rand value (three to five times salary), which is a fixed monetary amount settled in a variable number of shares.</w:t>
      </w:r>
    </w:p>
    <w:p>
      <w:pPr>
        <w:pStyle w:val="ListBullet"/>
        <w:spacing w:after="60"/>
      </w:pPr>
      <w:r>
        <w:rPr>
          <w:sz w:val="20"/>
        </w:rPr>
        <w:t>This feature has the economic character of a liability, so I would confirm the exact terms with management, because if there is any obligation or intention to settle in cash it would instead be cash-settled.</w:t>
      </w:r>
    </w:p>
    <w:p>
      <w:pPr>
        <w:pStyle w:val="ListBullet"/>
        <w:spacing w:after="60"/>
      </w:pPr>
      <w:r>
        <w:rPr>
          <w:sz w:val="20"/>
        </w:rPr>
        <w:t>On the information given, I will treat it as equity-settled, because settlement is in the company’s own equity instruments.</w:t>
      </w:r>
    </w:p>
    <w:p>
      <w:pPr>
        <w:spacing w:before="120" w:after="20"/>
      </w:pPr>
      <w:r>
        <w:rPr>
          <w:b/>
          <w:color w:val="1F3D6B"/>
          <w:sz w:val="22"/>
        </w:rPr>
        <w:t>Grant date and recognition</w:t>
      </w:r>
    </w:p>
    <w:p>
      <w:pPr>
        <w:pStyle w:val="ListBullet"/>
        <w:spacing w:after="60"/>
      </w:pPr>
      <w:r>
        <w:rPr>
          <w:sz w:val="20"/>
        </w:rPr>
        <w:t>The grant date is when the company and the managers reach a shared understanding of the terms and conditions of the scheme.</w:t>
      </w:r>
    </w:p>
    <w:p>
      <w:pPr>
        <w:pStyle w:val="ListBullet"/>
        <w:spacing w:after="60"/>
      </w:pPr>
      <w:r>
        <w:rPr>
          <w:sz w:val="20"/>
        </w:rPr>
        <w:t>Because the scheme is currently only tabled and is still being confirmed, grant date may not yet have occurred, in which case no expense is recognised until it is approved and communicated.</w:t>
      </w:r>
    </w:p>
    <w:p>
      <w:pPr>
        <w:pStyle w:val="ListBullet"/>
        <w:spacing w:after="60"/>
      </w:pPr>
      <w:r>
        <w:rPr>
          <w:sz w:val="20"/>
        </w:rPr>
        <w:t>Once granted, the expense is recognised over the three-year vesting period as the employees render service.</w:t>
      </w:r>
    </w:p>
    <w:p>
      <w:pPr>
        <w:spacing w:before="120" w:after="20"/>
      </w:pPr>
      <w:r>
        <w:rPr>
          <w:b/>
          <w:color w:val="1F3D6B"/>
          <w:sz w:val="22"/>
        </w:rPr>
        <w:t>Initial and subsequent measurement</w:t>
      </w:r>
    </w:p>
    <w:p>
      <w:pPr>
        <w:pStyle w:val="ListBullet"/>
        <w:spacing w:after="60"/>
      </w:pPr>
      <w:r>
        <w:rPr>
          <w:sz w:val="20"/>
        </w:rPr>
        <w:t>For an equity-settled award, the expense is measured at the grant-date fair value of the equity instruments granted, and it is not remeasured for later movements in the share price.</w:t>
      </w:r>
    </w:p>
    <w:p>
      <w:pPr>
        <w:pStyle w:val="ListBullet"/>
        <w:spacing w:after="60"/>
      </w:pPr>
      <w:r>
        <w:rPr>
          <w:sz w:val="20"/>
        </w:rPr>
        <w:t>The cumulative expense is adjusted at each reporting date for the number expected to vest, based on the service condition (managers remaining employed) and the non-market performance conditions (KPIs 1 to 5).</w:t>
      </w:r>
    </w:p>
    <w:p>
      <w:pPr>
        <w:pStyle w:val="ListBullet"/>
        <w:spacing w:after="60"/>
      </w:pPr>
      <w:r>
        <w:rPr>
          <w:sz w:val="20"/>
        </w:rPr>
        <w:t>Because the KPIs are non-market performance conditions, if they are not expected to be met, the expected number vesting is reduced and the expense is trued up, and any amounts previously recognised for tranches that ultimately do not vest are reversed.</w:t>
      </w:r>
    </w:p>
    <w:p>
      <w:pPr>
        <w:spacing w:before="120" w:after="20"/>
      </w:pPr>
      <w:r>
        <w:rPr>
          <w:b/>
          <w:color w:val="1F3D6B"/>
          <w:sz w:val="22"/>
        </w:rPr>
        <w:t>Illustrative worked calculation (assumed figures — actual salary, share price and fair value to be obtained)</w:t>
      </w:r>
    </w:p>
    <w:p>
      <w:pPr>
        <w:spacing w:after="80"/>
      </w:pPr>
      <w:r>
        <w:rPr>
          <w:b w:val="0"/>
          <w:i w:val="0"/>
          <w:sz w:val="18"/>
        </w:rPr>
        <w:t>Assume the eligible management group has a total annual salary of R40m, that the multiple is four times salary, giving a total award value of R160m, and that the award vests evenly over three years. The grant-date fair value of the equity promised is taken as R160m. The best estimate of the proportion expected to vest is revised each year because some KPIs are hard to meet.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864"/>
            <w:shd w:val="clear" w:fill="1f3d6b"/>
          </w:tcPr>
          <w:p>
            <w:r/>
            <w:r>
              <w:rPr>
                <w:b/>
                <w:color w:val="FFFFFF"/>
                <w:sz w:val="18"/>
              </w:rPr>
              <w:t>Year</w:t>
            </w:r>
          </w:p>
        </w:tc>
        <w:tc>
          <w:tcPr>
            <w:tcW w:type="dxa" w:w="2736"/>
            <w:shd w:val="clear" w:fill="1f3d6b"/>
          </w:tcPr>
          <w:p>
            <w:r/>
            <w:r>
              <w:rPr>
                <w:b/>
                <w:color w:val="FFFFFF"/>
                <w:sz w:val="18"/>
              </w:rPr>
              <w:t>Estimated % vesting</w:t>
            </w:r>
          </w:p>
        </w:tc>
        <w:tc>
          <w:tcPr>
            <w:tcW w:type="dxa" w:w="3744"/>
            <w:shd w:val="clear" w:fill="1f3d6b"/>
          </w:tcPr>
          <w:p>
            <w:r/>
            <w:r>
              <w:rPr>
                <w:b/>
                <w:color w:val="FFFFFF"/>
                <w:sz w:val="18"/>
              </w:rPr>
              <w:t>Cumulative expense (working)</w:t>
            </w:r>
          </w:p>
        </w:tc>
        <w:tc>
          <w:tcPr>
            <w:tcW w:type="dxa" w:w="2016"/>
            <w:shd w:val="clear" w:fill="1f3d6b"/>
          </w:tcPr>
          <w:p>
            <w:r/>
            <w:r>
              <w:rPr>
                <w:b/>
                <w:color w:val="FFFFFF"/>
                <w:sz w:val="18"/>
              </w:rPr>
              <w:t>Expense for the year</w:t>
            </w:r>
          </w:p>
        </w:tc>
      </w:tr>
      <w:tr>
        <w:tc>
          <w:tcPr>
            <w:tcW w:type="dxa" w:w="864"/>
          </w:tcPr>
          <w:p>
            <w:r/>
            <w:r>
              <w:rPr>
                <w:sz w:val="18"/>
              </w:rPr>
              <w:t>1</w:t>
            </w:r>
          </w:p>
        </w:tc>
        <w:tc>
          <w:tcPr>
            <w:tcW w:type="dxa" w:w="2736"/>
          </w:tcPr>
          <w:p>
            <w:r/>
            <w:r>
              <w:rPr>
                <w:sz w:val="18"/>
              </w:rPr>
              <w:t>70%</w:t>
            </w:r>
          </w:p>
        </w:tc>
        <w:tc>
          <w:tcPr>
            <w:tcW w:type="dxa" w:w="3744"/>
          </w:tcPr>
          <w:p>
            <w:r/>
            <w:r>
              <w:rPr>
                <w:sz w:val="18"/>
              </w:rPr>
              <w:t>R160m × 1/3 × 70% = R37.3m</w:t>
            </w:r>
          </w:p>
        </w:tc>
        <w:tc>
          <w:tcPr>
            <w:tcW w:type="dxa" w:w="2016"/>
          </w:tcPr>
          <w:p>
            <w:r/>
            <w:r>
              <w:rPr>
                <w:sz w:val="18"/>
              </w:rPr>
              <w:t>R37.3m</w:t>
            </w:r>
          </w:p>
        </w:tc>
      </w:tr>
      <w:tr>
        <w:tc>
          <w:tcPr>
            <w:tcW w:type="dxa" w:w="864"/>
          </w:tcPr>
          <w:p>
            <w:r/>
            <w:r>
              <w:rPr>
                <w:sz w:val="18"/>
              </w:rPr>
              <w:t>2</w:t>
            </w:r>
          </w:p>
        </w:tc>
        <w:tc>
          <w:tcPr>
            <w:tcW w:type="dxa" w:w="2736"/>
          </w:tcPr>
          <w:p>
            <w:r/>
            <w:r>
              <w:rPr>
                <w:sz w:val="18"/>
              </w:rPr>
              <w:t>40% (KPI 2 clearly not met)</w:t>
            </w:r>
          </w:p>
        </w:tc>
        <w:tc>
          <w:tcPr>
            <w:tcW w:type="dxa" w:w="3744"/>
          </w:tcPr>
          <w:p>
            <w:r/>
            <w:r>
              <w:rPr>
                <w:sz w:val="18"/>
              </w:rPr>
              <w:t>R160m × 2/3 × 40% = R42.7m</w:t>
            </w:r>
          </w:p>
        </w:tc>
        <w:tc>
          <w:tcPr>
            <w:tcW w:type="dxa" w:w="2016"/>
          </w:tcPr>
          <w:p>
            <w:r/>
            <w:r>
              <w:rPr>
                <w:sz w:val="18"/>
              </w:rPr>
              <w:t>R5.4m</w:t>
            </w:r>
          </w:p>
        </w:tc>
      </w:tr>
      <w:tr>
        <w:tc>
          <w:tcPr>
            <w:tcW w:type="dxa" w:w="864"/>
          </w:tcPr>
          <w:p>
            <w:r/>
            <w:r>
              <w:rPr>
                <w:sz w:val="18"/>
              </w:rPr>
              <w:t>3</w:t>
            </w:r>
          </w:p>
        </w:tc>
        <w:tc>
          <w:tcPr>
            <w:tcW w:type="dxa" w:w="2736"/>
          </w:tcPr>
          <w:p>
            <w:r/>
            <w:r>
              <w:rPr>
                <w:sz w:val="18"/>
              </w:rPr>
              <w:t>30% (actual outcome)</w:t>
            </w:r>
          </w:p>
        </w:tc>
        <w:tc>
          <w:tcPr>
            <w:tcW w:type="dxa" w:w="3744"/>
          </w:tcPr>
          <w:p>
            <w:r/>
            <w:r>
              <w:rPr>
                <w:sz w:val="18"/>
              </w:rPr>
              <w:t>R160m × 3/3 × 30% = R48.0m</w:t>
            </w:r>
          </w:p>
        </w:tc>
        <w:tc>
          <w:tcPr>
            <w:tcW w:type="dxa" w:w="2016"/>
          </w:tcPr>
          <w:p>
            <w:r/>
            <w:r>
              <w:rPr>
                <w:sz w:val="18"/>
              </w:rPr>
              <w:t>R5.3m</w:t>
            </w:r>
          </w:p>
        </w:tc>
      </w:tr>
    </w:tbl>
    <w:p>
      <w:pPr>
        <w:pStyle w:val="ListBullet"/>
        <w:spacing w:after="60"/>
      </w:pPr>
      <w:r>
        <w:rPr>
          <w:sz w:val="20"/>
        </w:rPr>
        <w:t>The annual journal is to debit the employee benefits expense in profit or loss and credit the share-based payment reserve in equity.</w:t>
      </w:r>
    </w:p>
    <w:p>
      <w:pPr>
        <w:pStyle w:val="ListBullet"/>
        <w:spacing w:after="60"/>
      </w:pPr>
      <w:r>
        <w:rPr>
          <w:sz w:val="20"/>
        </w:rPr>
        <w:t>When the shares are ultimately issued on vesting, the share-based payment reserve is transferred to share capital and share premium, and no cash flows out because the award is equity-settled.</w:t>
      </w:r>
    </w:p>
    <w:p>
      <w:pPr>
        <w:pStyle w:val="ListBullet"/>
        <w:spacing w:after="60"/>
      </w:pPr>
      <w:r>
        <w:rPr>
          <w:sz w:val="20"/>
        </w:rPr>
        <w:t>This example also shows the "possible nil value" point, because if the non-market KPIs are not expected to be met the expected vesting falls towards nil and the cumulative expense reverses towards nil.</w:t>
      </w:r>
    </w:p>
    <w:p>
      <w:pPr>
        <w:spacing w:before="120" w:after="20"/>
      </w:pPr>
      <w:r>
        <w:rPr>
          <w:b/>
          <w:color w:val="1F3D6B"/>
          <w:sz w:val="22"/>
        </w:rPr>
        <w:t>Disclosure</w:t>
      </w:r>
    </w:p>
    <w:p>
      <w:pPr>
        <w:pStyle w:val="ListBullet"/>
        <w:spacing w:after="60"/>
      </w:pPr>
      <w:r>
        <w:rPr>
          <w:sz w:val="20"/>
        </w:rPr>
        <w:t>IFRS 2 requires disclosure of the nature and terms of the scheme, the number of instruments and how their fair value was determined, and the effect of the scheme on profit or loss and on financial position.</w:t>
      </w:r>
    </w:p>
    <w:p>
      <w:pPr>
        <w:pStyle w:val="ListBullet"/>
        <w:spacing w:after="60"/>
      </w:pPr>
      <w:r>
        <w:rPr>
          <w:sz w:val="20"/>
        </w:rPr>
        <w:t>These disclosures overlap with the King IV remuneration policy and implementation report, which should also be presented to shareholders.</w:t>
      </w:r>
    </w:p>
    <w:p>
      <w:pPr>
        <w:spacing w:before="120" w:after="20"/>
      </w:pPr>
      <w:r>
        <w:rPr>
          <w:b/>
          <w:color w:val="1F3D6B"/>
          <w:sz w:val="22"/>
        </w:rPr>
        <w:t>Is the share-based scheme a viable option?</w:t>
      </w:r>
    </w:p>
    <w:p>
      <w:pPr>
        <w:pStyle w:val="ListBullet"/>
        <w:spacing w:after="60"/>
      </w:pPr>
      <w:r>
        <w:rPr>
          <w:sz w:val="20"/>
        </w:rPr>
        <w:t>As an equity-settled instrument it is cash-friendly, because it rewards management without any cash outflow, which is valuable while liquidity is critical.</w:t>
      </w:r>
    </w:p>
    <w:p>
      <w:pPr>
        <w:pStyle w:val="ListBullet"/>
        <w:spacing w:after="60"/>
      </w:pPr>
      <w:r>
        <w:rPr>
          <w:sz w:val="20"/>
        </w:rPr>
        <w:t>However, it is dilutive, because issuing new shares reduces existing shareholders’ holdings at the same time as the company is asking those shareholders for a rights issue, which is a fairness concern.</w:t>
      </w:r>
    </w:p>
    <w:p>
      <w:pPr>
        <w:pStyle w:val="ListBullet"/>
        <w:spacing w:after="60"/>
      </w:pPr>
      <w:r>
        <w:rPr>
          <w:sz w:val="20"/>
        </w:rPr>
        <w:t>It also adds an employee expense that increases the reported loss.</w:t>
      </w:r>
    </w:p>
    <w:p>
      <w:pPr>
        <w:pStyle w:val="ListBullet"/>
        <w:spacing w:after="60"/>
      </w:pPr>
      <w:r>
        <w:rPr>
          <w:sz w:val="20"/>
        </w:rPr>
        <w:t>If the KPIs are unachievable, the scheme produces little accounting expense but also fails to retain or motivate management, so it does not achieve its purpose.</w:t>
      </w:r>
    </w:p>
    <w:p>
      <w:pPr>
        <w:pStyle w:val="ListBullet"/>
        <w:spacing w:after="60"/>
      </w:pPr>
      <w:r>
        <w:rPr>
          <w:sz w:val="20"/>
        </w:rPr>
        <w:t>In conclusion, the equity-settled form is sensible for cash reasons, but the scheme is not viable as currently structured, because the KPI design and the dilution and fairness concerns mean it should be redesigned before it is approved.</w:t>
      </w:r>
    </w:p>
    <w:p>
      <w:pPr>
        <w:spacing w:before="200" w:after="40"/>
        <w:pBdr>
          <w:bottom w:val="single" w:sz="6" w:space="2" w:color="808080"/>
        </w:pBdr>
      </w:pPr>
      <w:r>
        <w:rPr>
          <w:b/>
          <w:color w:val="1F3D6B"/>
          <w:sz w:val="26"/>
        </w:rPr>
        <w:t>7. Overall conclusion</w:t>
      </w:r>
    </w:p>
    <w:p>
      <w:pPr>
        <w:pStyle w:val="ListBullet"/>
        <w:spacing w:after="60"/>
      </w:pPr>
      <w:r>
        <w:rPr>
          <w:sz w:val="20"/>
        </w:rPr>
        <w:t>The proposed scheme uses the wrong performance measures, because several KPIs are uncontrollable, unachievable or a low bar already met, so it could pay out in a record-loss year, which is the "reward for failure" that caused the AGM dissent.</w:t>
      </w:r>
    </w:p>
    <w:p>
      <w:pPr>
        <w:pStyle w:val="ListBullet"/>
        <w:spacing w:after="60"/>
      </w:pPr>
      <w:r>
        <w:rPr>
          <w:sz w:val="20"/>
        </w:rPr>
        <w:t>Lavashni’s understanding is right on KPIs 1 and 3, only partly right on KPI 4, and incorrect on KPIs 2 and 5, which is a concern given that she now chairs the remuneration committee.</w:t>
      </w:r>
    </w:p>
    <w:p>
      <w:pPr>
        <w:pStyle w:val="ListBullet"/>
        <w:spacing w:after="60"/>
      </w:pPr>
      <w:r>
        <w:rPr>
          <w:sz w:val="20"/>
        </w:rPr>
        <w:t>The scheme’s long-term vehicle is undermined by short-term, gameable measures, and it is not aligned with the company’s central priority of survival, cash and the value-led strategy.</w:t>
      </w:r>
    </w:p>
    <w:p>
      <w:pPr>
        <w:pStyle w:val="ListBullet"/>
        <w:spacing w:after="60"/>
      </w:pPr>
      <w:r>
        <w:rPr>
          <w:sz w:val="20"/>
        </w:rPr>
        <w:t>The share-based payment is best treated as equity-settled, which conserves cash, but it is dilutive and would produce little value if the KPIs cannot be met.</w:t>
      </w:r>
    </w:p>
    <w:p>
      <w:pPr>
        <w:pStyle w:val="ListBullet"/>
        <w:spacing w:after="60"/>
      </w:pPr>
      <w:r>
        <w:rPr>
          <w:sz w:val="20"/>
        </w:rPr>
        <w:t>I recommend that the KPIs be rebuilt around value, cash, and real ESG and safety outcomes, tiered and market-adjusted, and protected by malus, clawback and a going-concern gate, before the scheme is put to shareholders.</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