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D6B"/>
          <w:sz w:val="28"/>
        </w:rPr>
        <w:t>Diamante — Per-mine performance: Mine 1 versus Mine 2 (worked illustration, FY2026)</w:t>
      </w:r>
    </w:p>
    <w:p>
      <w:pPr>
        <w:spacing w:after="80"/>
      </w:pPr>
      <w:r>
        <w:rPr>
          <w:b w:val="0"/>
          <w:i/>
          <w:sz w:val="19"/>
        </w:rPr>
        <w:t>This is a companion to the performance-measures note. Because the pre-release only discloses revenue and the non-financial impairment for each mine separately, I have split the remaining lines using clearly-stated assumptions. The figures should therefore be read as an illustration of the method rather than as audited results. All amounts are in R millions.</w:t>
      </w:r>
    </w:p>
    <w:p>
      <w:pPr>
        <w:spacing w:before="200" w:after="40"/>
        <w:pBdr>
          <w:bottom w:val="single" w:sz="6" w:space="2" w:color="808080"/>
        </w:pBdr>
      </w:pPr>
      <w:r>
        <w:rPr>
          <w:b/>
          <w:color w:val="1F3D6B"/>
          <w:sz w:val="26"/>
        </w:rPr>
        <w:t>The assumptions I have used to split the two mines</w:t>
      </w:r>
    </w:p>
    <w:p>
      <w:pPr>
        <w:pStyle w:val="ListBullet"/>
        <w:spacing w:after="80"/>
      </w:pPr>
      <w:r>
        <w:rPr>
          <w:sz w:val="20"/>
        </w:rPr>
        <w:t>The following amounts are disclosed for each mine in the pre-release: revenue (Mine 1 earned R1 233m and Mine 2 earned R630m) and the non-financial impairment (R630m was recognised on Mine 1 and R333m on Mine 2).</w:t>
      </w:r>
    </w:p>
    <w:p>
      <w:pPr>
        <w:pStyle w:val="ListBullet"/>
        <w:spacing w:after="80"/>
      </w:pPr>
      <w:r>
        <w:rPr>
          <w:sz w:val="20"/>
        </w:rPr>
        <w:t>I have split the remaining shared amounts — the mining costs, the other corporate expenditure, the R207m financial-asset impairment, and the net investment — in proportion to each mine’s revenue (Mine 1 takes 66.2% and Mine 2 takes 33.8%). In a real engagement I would instead ask the client for each mine’s own costs, assets and carats, because a revenue-based split is only an approximation.</w:t>
      </w:r>
    </w:p>
    <w:p>
      <w:pPr>
        <w:pStyle w:val="ListBullet"/>
        <w:spacing w:after="80"/>
      </w:pPr>
      <w:r>
        <w:rPr>
          <w:sz w:val="20"/>
        </w:rPr>
        <w:t>The divisional NOPAT (net operating profit after tax) is calculated as the operating result multiplied by 73% (that is, after 27% tax), and it deliberately excludes the group’s finance income and finance expense, because financing is managed at group level rather than by each mine. This is the reason the two mines’ NOPAT figures add up to (R1 196m) rather than to the group figure of (R979m), which had retained the group’s finance income.</w:t>
      </w:r>
    </w:p>
    <w:p>
      <w:pPr>
        <w:pStyle w:val="ListBullet"/>
        <w:spacing w:after="80"/>
      </w:pPr>
      <w:r>
        <w:rPr>
          <w:sz w:val="20"/>
        </w:rPr>
        <w:t>I have assumed a weighted average cost of capital (WACC) of 12%. I have also shown Mine 2 at a risk-adjusted WACC of 14%, because it is the older, lower-grade mine whose future is under review and therefore carries more risk.</w:t>
      </w:r>
    </w:p>
    <w:p>
      <w:pPr>
        <w:spacing w:before="200" w:after="40"/>
        <w:pBdr>
          <w:bottom w:val="single" w:sz="6" w:space="2" w:color="808080"/>
        </w:pBdr>
      </w:pPr>
      <w:r>
        <w:rPr>
          <w:b/>
          <w:color w:val="1F3D6B"/>
          <w:sz w:val="26"/>
        </w:rPr>
        <w:t>The worked calculation — Mine 1 versus Mine 2 (FY2026)</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3888"/>
            <w:shd w:val="clear" w:fill="1f3d6b"/>
          </w:tcPr>
          <w:p>
            <w:r/>
            <w:r>
              <w:rPr>
                <w:b/>
                <w:color w:val="FFFFFF"/>
                <w:sz w:val="18"/>
              </w:rPr>
              <w:t>Line item</w:t>
            </w:r>
          </w:p>
        </w:tc>
        <w:tc>
          <w:tcPr>
            <w:tcW w:type="dxa" w:w="1152"/>
            <w:shd w:val="clear" w:fill="1f3d6b"/>
          </w:tcPr>
          <w:p>
            <w:r/>
            <w:r>
              <w:rPr>
                <w:b/>
                <w:color w:val="FFFFFF"/>
                <w:sz w:val="18"/>
              </w:rPr>
              <w:t>Mine 1</w:t>
            </w:r>
          </w:p>
        </w:tc>
        <w:tc>
          <w:tcPr>
            <w:tcW w:type="dxa" w:w="1152"/>
            <w:shd w:val="clear" w:fill="1f3d6b"/>
          </w:tcPr>
          <w:p>
            <w:r/>
            <w:r>
              <w:rPr>
                <w:b/>
                <w:color w:val="FFFFFF"/>
                <w:sz w:val="18"/>
              </w:rPr>
              <w:t>Mine 2</w:t>
            </w:r>
          </w:p>
        </w:tc>
        <w:tc>
          <w:tcPr>
            <w:tcW w:type="dxa" w:w="1152"/>
            <w:shd w:val="clear" w:fill="1f3d6b"/>
          </w:tcPr>
          <w:p>
            <w:r/>
            <w:r>
              <w:rPr>
                <w:b/>
                <w:color w:val="FFFFFF"/>
                <w:sz w:val="18"/>
              </w:rPr>
              <w:t>Total</w:t>
            </w:r>
          </w:p>
        </w:tc>
        <w:tc>
          <w:tcPr>
            <w:tcW w:type="dxa" w:w="2952"/>
            <w:shd w:val="clear" w:fill="1f3d6b"/>
          </w:tcPr>
          <w:p>
            <w:r/>
            <w:r>
              <w:rPr>
                <w:b/>
                <w:color w:val="FFFFFF"/>
                <w:sz w:val="18"/>
              </w:rPr>
              <w:t>How this line was arrived at</w:t>
            </w:r>
          </w:p>
        </w:tc>
      </w:tr>
      <w:tr>
        <w:tc>
          <w:tcPr>
            <w:tcW w:type="dxa" w:w="3888"/>
          </w:tcPr>
          <w:p>
            <w:r/>
            <w:r>
              <w:rPr>
                <w:sz w:val="18"/>
              </w:rPr>
              <w:t>Revenue</w:t>
            </w:r>
          </w:p>
        </w:tc>
        <w:tc>
          <w:tcPr>
            <w:tcW w:type="dxa" w:w="1152"/>
          </w:tcPr>
          <w:p>
            <w:r/>
            <w:r>
              <w:rPr>
                <w:sz w:val="18"/>
              </w:rPr>
              <w:t>1 233</w:t>
            </w:r>
          </w:p>
        </w:tc>
        <w:tc>
          <w:tcPr>
            <w:tcW w:type="dxa" w:w="1152"/>
          </w:tcPr>
          <w:p>
            <w:r/>
            <w:r>
              <w:rPr>
                <w:sz w:val="18"/>
              </w:rPr>
              <w:t>630</w:t>
            </w:r>
          </w:p>
        </w:tc>
        <w:tc>
          <w:tcPr>
            <w:tcW w:type="dxa" w:w="1152"/>
          </w:tcPr>
          <w:p>
            <w:r/>
            <w:r>
              <w:rPr>
                <w:sz w:val="18"/>
              </w:rPr>
              <w:t>1 863</w:t>
            </w:r>
          </w:p>
        </w:tc>
        <w:tc>
          <w:tcPr>
            <w:tcW w:type="dxa" w:w="2952"/>
          </w:tcPr>
          <w:p>
            <w:r/>
            <w:r>
              <w:rPr>
                <w:sz w:val="18"/>
              </w:rPr>
              <w:t>Disclosed separately for each mine</w:t>
            </w:r>
          </w:p>
        </w:tc>
      </w:tr>
      <w:tr>
        <w:tc>
          <w:tcPr>
            <w:tcW w:type="dxa" w:w="3888"/>
          </w:tcPr>
          <w:p>
            <w:r/>
            <w:r>
              <w:rPr>
                <w:sz w:val="18"/>
              </w:rPr>
              <w:t>Mining costs</w:t>
            </w:r>
          </w:p>
        </w:tc>
        <w:tc>
          <w:tcPr>
            <w:tcW w:type="dxa" w:w="1152"/>
          </w:tcPr>
          <w:p>
            <w:r/>
            <w:r>
              <w:rPr>
                <w:sz w:val="18"/>
              </w:rPr>
              <w:t>(1 519)</w:t>
            </w:r>
          </w:p>
        </w:tc>
        <w:tc>
          <w:tcPr>
            <w:tcW w:type="dxa" w:w="1152"/>
          </w:tcPr>
          <w:p>
            <w:r/>
            <w:r>
              <w:rPr>
                <w:sz w:val="18"/>
              </w:rPr>
              <w:t>(776)</w:t>
            </w:r>
          </w:p>
        </w:tc>
        <w:tc>
          <w:tcPr>
            <w:tcW w:type="dxa" w:w="1152"/>
          </w:tcPr>
          <w:p>
            <w:r/>
            <w:r>
              <w:rPr>
                <w:sz w:val="18"/>
              </w:rPr>
              <w:t>(2 295)</w:t>
            </w:r>
          </w:p>
        </w:tc>
        <w:tc>
          <w:tcPr>
            <w:tcW w:type="dxa" w:w="2952"/>
          </w:tcPr>
          <w:p>
            <w:r/>
            <w:r>
              <w:rPr>
                <w:sz w:val="18"/>
              </w:rPr>
              <w:t>Split in proportion to revenue</w:t>
            </w:r>
          </w:p>
        </w:tc>
      </w:tr>
      <w:tr>
        <w:tc>
          <w:tcPr>
            <w:tcW w:type="dxa" w:w="3888"/>
          </w:tcPr>
          <w:p>
            <w:r/>
            <w:r>
              <w:rPr>
                <w:sz w:val="18"/>
              </w:rPr>
              <w:t>Other corporate expenditure</w:t>
            </w:r>
          </w:p>
        </w:tc>
        <w:tc>
          <w:tcPr>
            <w:tcW w:type="dxa" w:w="1152"/>
          </w:tcPr>
          <w:p>
            <w:r/>
            <w:r>
              <w:rPr>
                <w:sz w:val="18"/>
              </w:rPr>
              <w:t>(24)</w:t>
            </w:r>
          </w:p>
        </w:tc>
        <w:tc>
          <w:tcPr>
            <w:tcW w:type="dxa" w:w="1152"/>
          </w:tcPr>
          <w:p>
            <w:r/>
            <w:r>
              <w:rPr>
                <w:sz w:val="18"/>
              </w:rPr>
              <w:t>(12)</w:t>
            </w:r>
          </w:p>
        </w:tc>
        <w:tc>
          <w:tcPr>
            <w:tcW w:type="dxa" w:w="1152"/>
          </w:tcPr>
          <w:p>
            <w:r/>
            <w:r>
              <w:rPr>
                <w:sz w:val="18"/>
              </w:rPr>
              <w:t>(36)</w:t>
            </w:r>
          </w:p>
        </w:tc>
        <w:tc>
          <w:tcPr>
            <w:tcW w:type="dxa" w:w="2952"/>
          </w:tcPr>
          <w:p>
            <w:r/>
            <w:r>
              <w:rPr>
                <w:sz w:val="18"/>
              </w:rPr>
              <w:t>Split in proportion to revenue</w:t>
            </w:r>
          </w:p>
        </w:tc>
      </w:tr>
      <w:tr>
        <w:tc>
          <w:tcPr>
            <w:tcW w:type="dxa" w:w="3888"/>
            <w:shd w:val="clear" w:fill="eef2f8"/>
          </w:tcPr>
          <w:p>
            <w:r/>
            <w:r>
              <w:rPr>
                <w:b/>
                <w:sz w:val="18"/>
              </w:rPr>
              <w:t>Operating result before impairment</w:t>
            </w:r>
          </w:p>
        </w:tc>
        <w:tc>
          <w:tcPr>
            <w:tcW w:type="dxa" w:w="1152"/>
            <w:shd w:val="clear" w:fill="eef2f8"/>
          </w:tcPr>
          <w:p>
            <w:r/>
            <w:r>
              <w:rPr>
                <w:b/>
                <w:sz w:val="18"/>
              </w:rPr>
              <w:t>(310)</w:t>
            </w:r>
          </w:p>
        </w:tc>
        <w:tc>
          <w:tcPr>
            <w:tcW w:type="dxa" w:w="1152"/>
            <w:shd w:val="clear" w:fill="eef2f8"/>
          </w:tcPr>
          <w:p>
            <w:r/>
            <w:r>
              <w:rPr>
                <w:b/>
                <w:sz w:val="18"/>
              </w:rPr>
              <w:t>(158)</w:t>
            </w:r>
          </w:p>
        </w:tc>
        <w:tc>
          <w:tcPr>
            <w:tcW w:type="dxa" w:w="1152"/>
            <w:shd w:val="clear" w:fill="eef2f8"/>
          </w:tcPr>
          <w:p>
            <w:r/>
            <w:r>
              <w:rPr>
                <w:b/>
                <w:sz w:val="18"/>
              </w:rPr>
              <w:t>(468)</w:t>
            </w:r>
          </w:p>
        </w:tc>
        <w:tc>
          <w:tcPr>
            <w:tcW w:type="dxa" w:w="2952"/>
            <w:shd w:val="clear" w:fill="eef2f8"/>
          </w:tcPr>
          <w:p>
            <w:r/>
            <w:r>
              <w:rPr>
                <w:b/>
                <w:sz w:val="18"/>
              </w:rPr>
              <w:t>Each mine makes a loss even before any impairment</w:t>
            </w:r>
          </w:p>
        </w:tc>
      </w:tr>
      <w:tr>
        <w:tc>
          <w:tcPr>
            <w:tcW w:type="dxa" w:w="3888"/>
          </w:tcPr>
          <w:p>
            <w:r/>
            <w:r>
              <w:rPr>
                <w:sz w:val="18"/>
              </w:rPr>
              <w:t>Impairment of non-financial assets</w:t>
            </w:r>
          </w:p>
        </w:tc>
        <w:tc>
          <w:tcPr>
            <w:tcW w:type="dxa" w:w="1152"/>
          </w:tcPr>
          <w:p>
            <w:r/>
            <w:r>
              <w:rPr>
                <w:sz w:val="18"/>
              </w:rPr>
              <w:t>(630)</w:t>
            </w:r>
          </w:p>
        </w:tc>
        <w:tc>
          <w:tcPr>
            <w:tcW w:type="dxa" w:w="1152"/>
          </w:tcPr>
          <w:p>
            <w:r/>
            <w:r>
              <w:rPr>
                <w:sz w:val="18"/>
              </w:rPr>
              <w:t>(333)</w:t>
            </w:r>
          </w:p>
        </w:tc>
        <w:tc>
          <w:tcPr>
            <w:tcW w:type="dxa" w:w="1152"/>
          </w:tcPr>
          <w:p>
            <w:r/>
            <w:r>
              <w:rPr>
                <w:sz w:val="18"/>
              </w:rPr>
              <w:t>(963)</w:t>
            </w:r>
          </w:p>
        </w:tc>
        <w:tc>
          <w:tcPr>
            <w:tcW w:type="dxa" w:w="2952"/>
          </w:tcPr>
          <w:p>
            <w:r/>
            <w:r>
              <w:rPr>
                <w:sz w:val="18"/>
              </w:rPr>
              <w:t>Disclosed separately for each mine</w:t>
            </w:r>
          </w:p>
        </w:tc>
      </w:tr>
      <w:tr>
        <w:tc>
          <w:tcPr>
            <w:tcW w:type="dxa" w:w="3888"/>
          </w:tcPr>
          <w:p>
            <w:r/>
            <w:r>
              <w:rPr>
                <w:sz w:val="18"/>
              </w:rPr>
              <w:t>Impairment of financial assets</w:t>
            </w:r>
          </w:p>
        </w:tc>
        <w:tc>
          <w:tcPr>
            <w:tcW w:type="dxa" w:w="1152"/>
          </w:tcPr>
          <w:p>
            <w:r/>
            <w:r>
              <w:rPr>
                <w:sz w:val="18"/>
              </w:rPr>
              <w:t>(137)</w:t>
            </w:r>
          </w:p>
        </w:tc>
        <w:tc>
          <w:tcPr>
            <w:tcW w:type="dxa" w:w="1152"/>
          </w:tcPr>
          <w:p>
            <w:r/>
            <w:r>
              <w:rPr>
                <w:sz w:val="18"/>
              </w:rPr>
              <w:t>(70)</w:t>
            </w:r>
          </w:p>
        </w:tc>
        <w:tc>
          <w:tcPr>
            <w:tcW w:type="dxa" w:w="1152"/>
          </w:tcPr>
          <w:p>
            <w:r/>
            <w:r>
              <w:rPr>
                <w:sz w:val="18"/>
              </w:rPr>
              <w:t>(207)</w:t>
            </w:r>
          </w:p>
        </w:tc>
        <w:tc>
          <w:tcPr>
            <w:tcW w:type="dxa" w:w="2952"/>
          </w:tcPr>
          <w:p>
            <w:r/>
            <w:r>
              <w:rPr>
                <w:sz w:val="18"/>
              </w:rPr>
              <w:t>Split in proportion to revenue</w:t>
            </w:r>
          </w:p>
        </w:tc>
      </w:tr>
      <w:tr>
        <w:tc>
          <w:tcPr>
            <w:tcW w:type="dxa" w:w="3888"/>
            <w:shd w:val="clear" w:fill="eef2f8"/>
          </w:tcPr>
          <w:p>
            <w:r/>
            <w:r>
              <w:rPr>
                <w:b/>
                <w:sz w:val="18"/>
              </w:rPr>
              <w:t>Operating result</w:t>
            </w:r>
          </w:p>
        </w:tc>
        <w:tc>
          <w:tcPr>
            <w:tcW w:type="dxa" w:w="1152"/>
            <w:shd w:val="clear" w:fill="eef2f8"/>
          </w:tcPr>
          <w:p>
            <w:r/>
            <w:r>
              <w:rPr>
                <w:b/>
                <w:sz w:val="18"/>
              </w:rPr>
              <w:t>(1 077)</w:t>
            </w:r>
          </w:p>
        </w:tc>
        <w:tc>
          <w:tcPr>
            <w:tcW w:type="dxa" w:w="1152"/>
            <w:shd w:val="clear" w:fill="eef2f8"/>
          </w:tcPr>
          <w:p>
            <w:r/>
            <w:r>
              <w:rPr>
                <w:b/>
                <w:sz w:val="18"/>
              </w:rPr>
              <w:t>(561)</w:t>
            </w:r>
          </w:p>
        </w:tc>
        <w:tc>
          <w:tcPr>
            <w:tcW w:type="dxa" w:w="1152"/>
            <w:shd w:val="clear" w:fill="eef2f8"/>
          </w:tcPr>
          <w:p>
            <w:r/>
            <w:r>
              <w:rPr>
                <w:b/>
                <w:sz w:val="18"/>
              </w:rPr>
              <w:t>(1 638)</w:t>
            </w:r>
          </w:p>
        </w:tc>
        <w:tc>
          <w:tcPr>
            <w:tcW w:type="dxa" w:w="2952"/>
            <w:shd w:val="clear" w:fill="eef2f8"/>
          </w:tcPr>
          <w:p>
            <w:r/>
            <w:r>
              <w:rPr>
                <w:b/>
                <w:sz w:val="18"/>
              </w:rPr>
              <w:t>This equals the group operating loss</w:t>
            </w:r>
          </w:p>
        </w:tc>
      </w:tr>
      <w:tr>
        <w:tc>
          <w:tcPr>
            <w:tcW w:type="dxa" w:w="3888"/>
            <w:shd w:val="clear" w:fill="eef2f8"/>
          </w:tcPr>
          <w:p>
            <w:r/>
            <w:r>
              <w:rPr>
                <w:b/>
                <w:sz w:val="18"/>
              </w:rPr>
              <w:t>NOPAT (operating result × 73%)</w:t>
            </w:r>
          </w:p>
        </w:tc>
        <w:tc>
          <w:tcPr>
            <w:tcW w:type="dxa" w:w="1152"/>
            <w:shd w:val="clear" w:fill="eef2f8"/>
          </w:tcPr>
          <w:p>
            <w:r/>
            <w:r>
              <w:rPr>
                <w:b/>
                <w:sz w:val="18"/>
              </w:rPr>
              <w:t>(786)</w:t>
            </w:r>
          </w:p>
        </w:tc>
        <w:tc>
          <w:tcPr>
            <w:tcW w:type="dxa" w:w="1152"/>
            <w:shd w:val="clear" w:fill="eef2f8"/>
          </w:tcPr>
          <w:p>
            <w:r/>
            <w:r>
              <w:rPr>
                <w:b/>
                <w:sz w:val="18"/>
              </w:rPr>
              <w:t>(410)</w:t>
            </w:r>
          </w:p>
        </w:tc>
        <w:tc>
          <w:tcPr>
            <w:tcW w:type="dxa" w:w="1152"/>
            <w:shd w:val="clear" w:fill="eef2f8"/>
          </w:tcPr>
          <w:p>
            <w:r/>
            <w:r>
              <w:rPr>
                <w:b/>
                <w:sz w:val="18"/>
              </w:rPr>
              <w:t>(1 196)</w:t>
            </w:r>
          </w:p>
        </w:tc>
        <w:tc>
          <w:tcPr>
            <w:tcW w:type="dxa" w:w="2952"/>
            <w:shd w:val="clear" w:fill="eef2f8"/>
          </w:tcPr>
          <w:p>
            <w:r/>
            <w:r>
              <w:rPr>
                <w:b/>
                <w:sz w:val="18"/>
              </w:rPr>
              <w:t>Excludes the group’s finance income and expense</w:t>
            </w:r>
          </w:p>
        </w:tc>
      </w:tr>
      <w:tr>
        <w:tc>
          <w:tcPr>
            <w:tcW w:type="dxa" w:w="3888"/>
          </w:tcPr>
          <w:p>
            <w:r/>
            <w:r>
              <w:rPr>
                <w:sz w:val="18"/>
              </w:rPr>
              <w:t>Net investment (permanent capital)</w:t>
            </w:r>
          </w:p>
        </w:tc>
        <w:tc>
          <w:tcPr>
            <w:tcW w:type="dxa" w:w="1152"/>
          </w:tcPr>
          <w:p>
            <w:r/>
            <w:r>
              <w:rPr>
                <w:sz w:val="18"/>
              </w:rPr>
              <w:t>2 925</w:t>
            </w:r>
          </w:p>
        </w:tc>
        <w:tc>
          <w:tcPr>
            <w:tcW w:type="dxa" w:w="1152"/>
          </w:tcPr>
          <w:p>
            <w:r/>
            <w:r>
              <w:rPr>
                <w:sz w:val="18"/>
              </w:rPr>
              <w:t>1 494</w:t>
            </w:r>
          </w:p>
        </w:tc>
        <w:tc>
          <w:tcPr>
            <w:tcW w:type="dxa" w:w="1152"/>
          </w:tcPr>
          <w:p>
            <w:r/>
            <w:r>
              <w:rPr>
                <w:sz w:val="18"/>
              </w:rPr>
              <w:t>4 419</w:t>
            </w:r>
          </w:p>
        </w:tc>
        <w:tc>
          <w:tcPr>
            <w:tcW w:type="dxa" w:w="2952"/>
          </w:tcPr>
          <w:p>
            <w:r/>
            <w:r>
              <w:rPr>
                <w:sz w:val="18"/>
              </w:rPr>
              <w:t>Split in proportion to revenue</w:t>
            </w:r>
          </w:p>
        </w:tc>
      </w:tr>
      <w:tr>
        <w:tc>
          <w:tcPr>
            <w:tcW w:type="dxa" w:w="3888"/>
          </w:tcPr>
          <w:p>
            <w:r/>
            <w:r>
              <w:rPr>
                <w:sz w:val="18"/>
              </w:rPr>
              <w:t>Return on investment (NOPAT ÷ net investment)</w:t>
            </w:r>
          </w:p>
        </w:tc>
        <w:tc>
          <w:tcPr>
            <w:tcW w:type="dxa" w:w="1152"/>
          </w:tcPr>
          <w:p>
            <w:r/>
            <w:r>
              <w:rPr>
                <w:sz w:val="18"/>
              </w:rPr>
              <w:t>(26.9%)</w:t>
            </w:r>
          </w:p>
        </w:tc>
        <w:tc>
          <w:tcPr>
            <w:tcW w:type="dxa" w:w="1152"/>
          </w:tcPr>
          <w:p>
            <w:r/>
            <w:r>
              <w:rPr>
                <w:sz w:val="18"/>
              </w:rPr>
              <w:t>(27.4%)</w:t>
            </w:r>
          </w:p>
        </w:tc>
        <w:tc>
          <w:tcPr>
            <w:tcW w:type="dxa" w:w="1152"/>
          </w:tcPr>
          <w:p>
            <w:r/>
            <w:r>
              <w:rPr>
                <w:sz w:val="18"/>
              </w:rPr>
            </w:r>
          </w:p>
        </w:tc>
        <w:tc>
          <w:tcPr>
            <w:tcW w:type="dxa" w:w="2952"/>
          </w:tcPr>
          <w:p>
            <w:r/>
            <w:r>
              <w:rPr>
                <w:sz w:val="18"/>
              </w:rPr>
              <w:t>Both returns are deeply negative</w:t>
            </w:r>
          </w:p>
        </w:tc>
      </w:tr>
      <w:tr>
        <w:tc>
          <w:tcPr>
            <w:tcW w:type="dxa" w:w="3888"/>
            <w:shd w:val="clear" w:fill="eef2f8"/>
          </w:tcPr>
          <w:p>
            <w:r/>
            <w:r>
              <w:rPr>
                <w:b/>
                <w:sz w:val="18"/>
              </w:rPr>
              <w:t>Residual income at a 12% WACC</w:t>
            </w:r>
          </w:p>
        </w:tc>
        <w:tc>
          <w:tcPr>
            <w:tcW w:type="dxa" w:w="1152"/>
            <w:shd w:val="clear" w:fill="eef2f8"/>
          </w:tcPr>
          <w:p>
            <w:r/>
            <w:r>
              <w:rPr>
                <w:b/>
                <w:sz w:val="18"/>
              </w:rPr>
              <w:t>(1 137)</w:t>
            </w:r>
          </w:p>
        </w:tc>
        <w:tc>
          <w:tcPr>
            <w:tcW w:type="dxa" w:w="1152"/>
            <w:shd w:val="clear" w:fill="eef2f8"/>
          </w:tcPr>
          <w:p>
            <w:r/>
            <w:r>
              <w:rPr>
                <w:b/>
                <w:sz w:val="18"/>
              </w:rPr>
              <w:t>(589)</w:t>
            </w:r>
          </w:p>
        </w:tc>
        <w:tc>
          <w:tcPr>
            <w:tcW w:type="dxa" w:w="1152"/>
            <w:shd w:val="clear" w:fill="eef2f8"/>
          </w:tcPr>
          <w:p>
            <w:r/>
            <w:r>
              <w:rPr>
                <w:b/>
                <w:sz w:val="18"/>
              </w:rPr>
              <w:t>(1 726)</w:t>
            </w:r>
          </w:p>
        </w:tc>
        <w:tc>
          <w:tcPr>
            <w:tcW w:type="dxa" w:w="2952"/>
            <w:shd w:val="clear" w:fill="eef2f8"/>
          </w:tcPr>
          <w:p>
            <w:r/>
            <w:r>
              <w:rPr>
                <w:b/>
                <w:sz w:val="18"/>
              </w:rPr>
              <w:t>NOPAT minus (WACC × net investment)</w:t>
            </w:r>
          </w:p>
        </w:tc>
      </w:tr>
      <w:tr>
        <w:tc>
          <w:tcPr>
            <w:tcW w:type="dxa" w:w="3888"/>
            <w:shd w:val="clear" w:fill="eef2f8"/>
          </w:tcPr>
          <w:p>
            <w:r/>
            <w:r>
              <w:rPr>
                <w:b/>
                <w:sz w:val="18"/>
              </w:rPr>
              <w:t>Residual income risk-adjusted (Mine 1 12%, Mine 2 14%)</w:t>
            </w:r>
          </w:p>
        </w:tc>
        <w:tc>
          <w:tcPr>
            <w:tcW w:type="dxa" w:w="1152"/>
            <w:shd w:val="clear" w:fill="eef2f8"/>
          </w:tcPr>
          <w:p>
            <w:r/>
            <w:r>
              <w:rPr>
                <w:b/>
                <w:sz w:val="18"/>
              </w:rPr>
              <w:t>(1 137)</w:t>
            </w:r>
          </w:p>
        </w:tc>
        <w:tc>
          <w:tcPr>
            <w:tcW w:type="dxa" w:w="1152"/>
            <w:shd w:val="clear" w:fill="eef2f8"/>
          </w:tcPr>
          <w:p>
            <w:r/>
            <w:r>
              <w:rPr>
                <w:b/>
                <w:sz w:val="18"/>
              </w:rPr>
              <w:t>(619)</w:t>
            </w:r>
          </w:p>
        </w:tc>
        <w:tc>
          <w:tcPr>
            <w:tcW w:type="dxa" w:w="1152"/>
            <w:shd w:val="clear" w:fill="eef2f8"/>
          </w:tcPr>
          <w:p>
            <w:r/>
            <w:r>
              <w:rPr>
                <w:b/>
                <w:sz w:val="18"/>
              </w:rPr>
            </w:r>
          </w:p>
        </w:tc>
        <w:tc>
          <w:tcPr>
            <w:tcW w:type="dxa" w:w="2952"/>
            <w:shd w:val="clear" w:fill="eef2f8"/>
          </w:tcPr>
          <w:p>
            <w:r/>
            <w:r>
              <w:rPr>
                <w:b/>
                <w:sz w:val="18"/>
              </w:rPr>
              <w:t>Mine 2 is worse once its higher risk is reflected</w:t>
            </w:r>
          </w:p>
        </w:tc>
      </w:tr>
    </w:tbl>
    <w:p>
      <w:pPr>
        <w:spacing w:before="200" w:after="40"/>
        <w:pBdr>
          <w:bottom w:val="single" w:sz="6" w:space="2" w:color="808080"/>
        </w:pBdr>
      </w:pPr>
      <w:r>
        <w:rPr>
          <w:b/>
          <w:color w:val="1F3D6B"/>
          <w:sz w:val="26"/>
        </w:rPr>
        <w:t>What the per-mine numbers are telling us</w:t>
      </w:r>
    </w:p>
    <w:p>
      <w:pPr>
        <w:pStyle w:val="ListBullet"/>
        <w:spacing w:after="80"/>
      </w:pPr>
      <w:r>
        <w:rPr>
          <w:sz w:val="20"/>
        </w:rPr>
        <w:t>Both mines are destroying value. Each mine produces a return on investment of roughly minus 27%, and each produces a large negative residual income, which means that every rand of capital tied up in the mines is earning far less than the roughly 12% that the capital costs. Measured honestly on residual income or economic value added, neither mine has earned a bonus in FY2026.</w:t>
      </w:r>
    </w:p>
    <w:p>
      <w:pPr>
        <w:pStyle w:val="ListBullet"/>
        <w:spacing w:after="80"/>
      </w:pPr>
      <w:r>
        <w:rPr>
          <w:sz w:val="20"/>
        </w:rPr>
        <w:t>The losses are not caused only by the impairments. Even before the R963m impairment is deducted, both mines are already loss-making at the operating level (Mine 1 loses R310m and Mine 2 loses R158m). This tells us that the core mining operations are under water, so the business needs genuine cost and price improvements, not just a one-off write-down.</w:t>
      </w:r>
    </w:p>
    <w:p>
      <w:pPr>
        <w:pStyle w:val="ListBullet"/>
        <w:spacing w:after="80"/>
      </w:pPr>
      <w:r>
        <w:rPr>
          <w:sz w:val="20"/>
        </w:rPr>
        <w:t>Mine 2 is the weaker asset, and the gap between the two mines is actually understated in this illustration. On a simple revenue-based split the two returns look similar, but Mine 2’s revenue fell by 42% (compared with Mine 1’s 28% fall), it absorbed a large impairment, and its costs are likely to be stickier because it is the older, lower-grade mine. If more of the fixed costs were allocated to Mine 2, or if its higher risk is reflected by using a 14% WACC, its residual income falls even further. This is precisely why the board is "evaluating the future of Mine 2" (Document 3), and the numbers support a review of closure, sale, or care-and-maintenance.</w:t>
      </w:r>
    </w:p>
    <w:p>
      <w:pPr>
        <w:pStyle w:val="ListBullet"/>
        <w:spacing w:after="80"/>
      </w:pPr>
      <w:r>
        <w:rPr>
          <w:sz w:val="20"/>
        </w:rPr>
        <w:t>This has a direct implication for the incentive scheme. If performance were measured properly — per mine, and on residual income, cost per carat and safety — management would not earn a bonus in FY2026. That is the opposite of what the Document 5 KPIs would deliver, and it confirms the "reward for failure" concern raised in the earlier critique.</w:t>
      </w:r>
    </w:p>
    <w:p>
      <w:pPr>
        <w:spacing w:before="200" w:after="40"/>
        <w:pBdr>
          <w:bottom w:val="single" w:sz="6" w:space="2" w:color="808080"/>
        </w:pBdr>
      </w:pPr>
      <w:r>
        <w:rPr>
          <w:b/>
          <w:color w:val="1F3D6B"/>
          <w:sz w:val="26"/>
        </w:rPr>
        <w:t>Important caveat</w:t>
      </w:r>
    </w:p>
    <w:p>
      <w:pPr>
        <w:pStyle w:val="ListBullet"/>
        <w:spacing w:after="80"/>
      </w:pPr>
      <w:r>
        <w:rPr>
          <w:sz w:val="20"/>
        </w:rPr>
        <w:t>These per-mine figures depend on revenue-based allocations because the divisional cost and asset splits are not disclosed in the pre-release. Before giving the client a firm answer, I would request each mine’s own balance sheet, its actual mining costs, and the carats recovered and sold, so that cost per carat, realised US dollars per carat, and a true per-mine return on investment, residual income and economic value added can be calculated rather than estimated.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