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D6B"/>
          <w:sz w:val="28"/>
        </w:rPr>
        <w:t>Diamante — Real-world Comparators: Petra Diamonds &amp; Gem Diamonds</w:t>
      </w:r>
    </w:p>
    <w:p>
      <w:pPr>
        <w:spacing w:after="80"/>
      </w:pPr>
      <w:r>
        <w:rPr>
          <w:b w:val="0"/>
          <w:i/>
          <w:sz w:val="18"/>
        </w:rPr>
        <w:t>A benchmark of Diamante against two real listed diamond miners: their performance measures / refinancing, and a financial comparison. Real figures are from the companies’ most recent published results (FY2025, and FY2024 where noted) and should be re-checked against the latest annual reports.</w:t>
      </w:r>
    </w:p>
    <w:p>
      <w:pPr>
        <w:spacing w:before="20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1. Which companies, and why</w:t>
      </w:r>
    </w:p>
    <w:p>
      <w:pPr>
        <w:pStyle w:val="ListBullet"/>
        <w:spacing w:after="60"/>
      </w:pPr>
      <w:r>
        <w:rPr>
          <w:sz w:val="20"/>
        </w:rPr>
        <w:t>Petra Diamonds is the closest overall match, because it is a mid-tier miner of gem-quality rough diamonds from South African mines, sells almost entirely through tenders, produces occasional exceptional stones, and has been through a going-concern-type debt crisis and refinancing.</w:t>
      </w:r>
    </w:p>
    <w:p>
      <w:pPr>
        <w:pStyle w:val="ListBullet"/>
        <w:spacing w:after="60"/>
      </w:pPr>
      <w:r>
        <w:rPr>
          <w:sz w:val="20"/>
        </w:rPr>
        <w:t>Gem Diamonds is the closest match for Diamante’s value-led strategy, because its single mine (Letšeng in Lesotho) has the world’s highest average dollar-per-carat and is deliberately run for quality over quantity.</w:t>
      </w:r>
    </w:p>
    <w:p>
      <w:pPr>
        <w:pStyle w:val="ListBullet"/>
        <w:spacing w:after="60"/>
      </w:pPr>
      <w:r>
        <w:rPr>
          <w:sz w:val="20"/>
        </w:rPr>
        <w:t>De Beers is the sector benchmark named in the pre-release, but it is the dominant global producer rather than a distressed peer, so it is a reference point rather than a true comparator.</w:t>
      </w:r>
    </w:p>
    <w:p>
      <w:pPr>
        <w:spacing w:before="20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2. Performance measures &amp; refinancing — Diamante vs what Petra and Gem actually use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1584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3312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Diamante (Doc 5 KPIs)</w:t>
            </w:r>
          </w:p>
        </w:tc>
        <w:tc>
          <w:tcPr>
            <w:tcW w:type="dxa" w:w="5184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Petra &amp; Gem (what real miners actually report/reward)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Value / price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High-value diamonds as a % of total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Realised US$ per carat (Gem: $1 390/ct in 2024) — the central value measure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Cost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Mining cost growth below inflation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On-mine cost per carat / per tonne treated — a unit-efficiency measure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Profit / cash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Net profit growth ≥ 5%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Adjusted / underlying EBITDA and margin; free cash flow — not accounting profit growth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Balance sheet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(none)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Net debt and net debt : EBITDA; net-debt reduction (central to Petra’s remuneration given its gearing)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Working capital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Reduction in inventories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Managed within cash-flow targets, not as a stand-alone reward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Safety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(none)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Lost-time injury frequency rate (LTIFR) — always a core mining KPI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ESG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EY integrated-reporting rating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Actual outcomes: carbon/energy, water, tailings, rehabilitation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Long-term incentive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Shares vesting over 3 years on annual KPIs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Typically relative Total Shareholder Return (TSR) plus an operational/ESG scorecard, over 3 years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7"/>
              </w:rPr>
              <w:t>Refinancing</w:t>
            </w:r>
          </w:p>
        </w:tc>
        <w:tc>
          <w:tcPr>
            <w:tcW w:type="dxa" w:w="3312"/>
          </w:tcPr>
          <w:p>
            <w:r/>
            <w:r>
              <w:rPr>
                <w:sz w:val="17"/>
              </w:rPr>
              <w:t>Bank extension to 2030 (needs rights issue + shareholder-loan revision)</w:t>
            </w:r>
          </w:p>
        </w:tc>
        <w:tc>
          <w:tcPr>
            <w:tcW w:type="dxa" w:w="5184"/>
          </w:tcPr>
          <w:p>
            <w:r/>
            <w:r>
              <w:rPr>
                <w:sz w:val="17"/>
              </w:rPr>
              <w:t>Petra: Nov-2025 refinancing extended bank debt to 2029 and loan notes to 2030 — almost identical</w:t>
            </w:r>
          </w:p>
        </w:tc>
      </w:tr>
    </w:tbl>
    <w:p>
      <w:pPr>
        <w:pStyle w:val="ListBullet"/>
        <w:spacing w:after="60"/>
      </w:pPr>
      <w:r>
        <w:rPr>
          <w:sz w:val="20"/>
        </w:rPr>
        <w:t>The clear gap is that Diamante rewards accounting profit growth, an internal reporting award, and inventory reduction, whereas real miners reward realised US$ per carat, cost per carat, EBITDA and free cash flow, net-debt reduction, safety and real ESG outcomes.</w:t>
      </w:r>
    </w:p>
    <w:p>
      <w:pPr>
        <w:pStyle w:val="ListBullet"/>
        <w:spacing w:after="60"/>
      </w:pPr>
      <w:r>
        <w:rPr>
          <w:sz w:val="20"/>
        </w:rPr>
        <w:t>Diamante’s own refinancing (extending to 2030, contingent on a rights issue) mirrors Petra’s actual 2025 refinancing very closely, which is strong evidence that the case is modelled on Petra.</w:t>
      </w:r>
    </w:p>
    <w:p>
      <w:pPr>
        <w:spacing w:before="20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3. Financial comparison</w:t>
      </w:r>
    </w:p>
    <w:p>
      <w:pPr>
        <w:spacing w:after="80"/>
      </w:pPr>
      <w:r>
        <w:rPr>
          <w:b w:val="0"/>
          <w:i/>
          <w:sz w:val="18"/>
        </w:rPr>
        <w:t>Diamante reports in Rand; Petra and Gem report in US dollars. For comparability the Rand figures are also shown converted at an assumed R18 : US$1. Reporting dates differ slightly (Diamante and Petra to 30 June; Gem to 31 December).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736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Metric (most recent FY)</w:t>
            </w:r>
          </w:p>
        </w:tc>
        <w:tc>
          <w:tcPr>
            <w:tcW w:type="dxa" w:w="2736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Diamante FY2026 (draft)</w:t>
            </w:r>
          </w:p>
        </w:tc>
        <w:tc>
          <w:tcPr>
            <w:tcW w:type="dxa" w:w="2664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Petra FY2025 (Jun-25)</w:t>
            </w:r>
          </w:p>
        </w:tc>
        <w:tc>
          <w:tcPr>
            <w:tcW w:type="dxa" w:w="2232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Gem FY2025 (Dec-25)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Revenue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R1 863m  (~US$104m)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~US$260m (H1 US$146m)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US$98.4m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Revenue change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−33%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falling (H1 −22%)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−36% (from US$154m)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Adjusted / underlying EBITDA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R207m  (~US$12m)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US$27m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US$3.9m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EBITDA margin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~11%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~13%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~4%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Impairments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R1 170m  (~US$65m)  (both mines)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US$107m (Cullinan US$70m + Finsch US$37m)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US$77.5m (Letšeng)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Net loss (attributable / for year)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R1 044m  (~US$58m)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US$154m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US$104m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Net debt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R2 592m  (~US$144m)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US$261m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US$20.1m</w:t>
            </w:r>
          </w:p>
        </w:tc>
      </w:tr>
      <w:tr>
        <w:tc>
          <w:tcPr>
            <w:tcW w:type="dxa" w:w="2736"/>
            <w:shd w:val="clear" w:fill="eef2f8"/>
          </w:tcPr>
          <w:p>
            <w:r/>
            <w:r>
              <w:rPr>
                <w:b/>
                <w:sz w:val="17"/>
              </w:rPr>
              <w:t>Net debt : EBITDA</w:t>
            </w:r>
          </w:p>
        </w:tc>
        <w:tc>
          <w:tcPr>
            <w:tcW w:type="dxa" w:w="2736"/>
            <w:shd w:val="clear" w:fill="eef2f8"/>
          </w:tcPr>
          <w:p>
            <w:r/>
            <w:r>
              <w:rPr>
                <w:b/>
                <w:sz w:val="17"/>
              </w:rPr>
              <w:t>~12.5x</w:t>
            </w:r>
          </w:p>
        </w:tc>
        <w:tc>
          <w:tcPr>
            <w:tcW w:type="dxa" w:w="2664"/>
            <w:shd w:val="clear" w:fill="eef2f8"/>
          </w:tcPr>
          <w:p>
            <w:r/>
            <w:r>
              <w:rPr>
                <w:b/>
                <w:sz w:val="17"/>
              </w:rPr>
              <w:t>9.7x</w:t>
            </w:r>
          </w:p>
        </w:tc>
        <w:tc>
          <w:tcPr>
            <w:tcW w:type="dxa" w:w="2232"/>
            <w:shd w:val="clear" w:fill="eef2f8"/>
          </w:tcPr>
          <w:p>
            <w:r/>
            <w:r>
              <w:rPr>
                <w:b/>
                <w:sz w:val="17"/>
              </w:rPr>
              <w:t>~5.2x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Refinancing / going concern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Yes — extension to 2030 + rights issue</w:t>
            </w:r>
          </w:p>
        </w:tc>
        <w:tc>
          <w:tcPr>
            <w:tcW w:type="dxa" w:w="2664"/>
          </w:tcPr>
          <w:p>
            <w:r/>
            <w:r>
              <w:rPr>
                <w:sz w:val="17"/>
              </w:rPr>
              <w:t>Yes — refinanced to 2029/2030</w:t>
            </w:r>
          </w:p>
        </w:tc>
        <w:tc>
          <w:tcPr>
            <w:tcW w:type="dxa" w:w="2232"/>
          </w:tcPr>
          <w:p>
            <w:r/>
            <w:r>
              <w:rPr>
                <w:sz w:val="17"/>
              </w:rPr>
              <w:t>No — modest gearing, no crisis</w:t>
            </w:r>
          </w:p>
        </w:tc>
      </w:tr>
    </w:tbl>
    <w:p>
      <w:pPr>
        <w:spacing w:before="100" w:after="20"/>
      </w:pPr>
      <w:r>
        <w:rPr>
          <w:b/>
          <w:color w:val="1F3D6B"/>
          <w:sz w:val="22"/>
        </w:rPr>
        <w:t>What the comparison shows</w:t>
      </w:r>
    </w:p>
    <w:p>
      <w:pPr>
        <w:pStyle w:val="ListBullet"/>
        <w:spacing w:after="60"/>
      </w:pPr>
      <w:r>
        <w:rPr>
          <w:sz w:val="20"/>
        </w:rPr>
        <w:t>All three companies suffered falling revenue, impairments and a loss in 2025, which confirms that Diamante’s problems are largely a sector-wide diamond downturn, not just company-specific.</w:t>
      </w:r>
    </w:p>
    <w:p>
      <w:pPr>
        <w:pStyle w:val="ListBullet"/>
        <w:spacing w:after="60"/>
      </w:pPr>
      <w:r>
        <w:rPr>
          <w:sz w:val="20"/>
        </w:rPr>
        <w:t>Diamante and Petra are the "distress twins", because both are highly geared (net debt : EBITDA of roughly 12x and 10x), both took impairments across two mines, and both depend on a refinancing that extends debt to 2030.</w:t>
      </w:r>
    </w:p>
    <w:p>
      <w:pPr>
        <w:pStyle w:val="ListBullet"/>
        <w:spacing w:after="60"/>
      </w:pPr>
      <w:r>
        <w:rPr>
          <w:sz w:val="20"/>
        </w:rPr>
        <w:t>Gem Diamonds is financially much healthier, because its net debt is only about US$20m and its net debt : EBITDA is far lower, so it faces the same weak market but not a going-concern or refinancing crisis.</w:t>
      </w:r>
    </w:p>
    <w:p>
      <w:pPr>
        <w:pStyle w:val="ListBullet"/>
        <w:spacing w:after="60"/>
      </w:pPr>
      <w:r>
        <w:rPr>
          <w:sz w:val="20"/>
        </w:rPr>
        <w:t>Diamante is the smallest by revenue, and its EBITDA margin sits between Petra’s (higher) and Gem’s (lower), while its gearing is the most stretched of the three.</w:t>
      </w:r>
    </w:p>
    <w:p>
      <w:pPr>
        <w:spacing w:before="20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4. Is Gem Diamonds a good comparison?</w:t>
      </w:r>
    </w:p>
    <w:p>
      <w:pPr>
        <w:spacing w:after="80"/>
      </w:pPr>
      <w:r>
        <w:rPr>
          <w:b w:val="0"/>
          <w:i/>
          <w:sz w:val="19"/>
        </w:rPr>
        <w:t>Yes, but only for certain purposes. It is an excellent comparator for strategy and the market cycle, and a poor comparator for financial position.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184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Similarities (why it is a good comparison)</w:t>
            </w:r>
          </w:p>
        </w:tc>
        <w:tc>
          <w:tcPr>
            <w:tcW w:type="dxa" w:w="5040"/>
            <w:shd w:val="clear" w:fill="1f3d6b"/>
          </w:tcPr>
          <w:p>
            <w:r/>
            <w:r>
              <w:rPr>
                <w:b/>
                <w:color w:val="FFFFFF"/>
                <w:sz w:val="17"/>
              </w:rPr>
              <w:t>Differences (why it is not a full match)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7"/>
              </w:rPr>
              <w:t>Both follow a value-led strategy of quality over quantity (Letšeng has the world’s highest US$ per carat).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Gem has essentially ONE mine in Lesotho, whereas Diamante has two South African mines.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7"/>
              </w:rPr>
              <w:t>Both produce and separately market rare, exceptional high-value diamonds.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Gem is Lesotho-based and London-listed; Diamante is presented as a listed South African company.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7"/>
              </w:rPr>
              <w:t>Both sell rough on tender and price in US dollars against a Rand/Loti cost base.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Gem has low gearing (net debt ~US$20m) and no refinancing crisis, whereas Diamante faces a going-concern/refinancing problem.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7"/>
              </w:rPr>
              <w:t>Both were hit by the same 2022–2025 downturn, with falling revenue, an impairment and a 2025 loss.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Gem has historically paid dividends and returned cash; Diamante has paid none for two years.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sz w:val="17"/>
              </w:rPr>
              <w:t>Both are exposed to lab-grown competition, US demand and traceability expectations.</w:t>
            </w:r>
          </w:p>
        </w:tc>
        <w:tc>
          <w:tcPr>
            <w:tcW w:type="dxa" w:w="5040"/>
          </w:tcPr>
          <w:p>
            <w:r/>
            <w:r>
              <w:rPr>
                <w:sz w:val="17"/>
              </w:rPr>
              <w:t>Gem’s impairment and loss are single-asset; Diamante’s are spread across two mines and a discontinued operation.</w:t>
            </w:r>
          </w:p>
        </w:tc>
      </w:tr>
    </w:tbl>
    <w:p>
      <w:pPr>
        <w:pStyle w:val="ListBullet"/>
        <w:spacing w:after="60"/>
      </w:pPr>
      <w:r>
        <w:rPr>
          <w:sz w:val="20"/>
        </w:rPr>
        <w:t>In short, use Gem Diamonds to benchmark the value-led strategy, the realised US$-per-carat KPI and the market downturn.</w:t>
      </w:r>
    </w:p>
    <w:p>
      <w:pPr>
        <w:pStyle w:val="ListBullet"/>
        <w:spacing w:after="60"/>
      </w:pPr>
      <w:r>
        <w:rPr>
          <w:sz w:val="20"/>
        </w:rPr>
        <w:t>Do not use Gem Diamonds to benchmark Diamante’s balance sheet, gearing, going concern or refinancing, because on those points Petra Diamonds is the far better comparator.</w:t>
      </w:r>
    </w:p>
    <w:p>
      <w:pPr>
        <w:spacing w:before="200" w:after="40"/>
        <w:pBdr>
          <w:bottom w:val="single" w:sz="6" w:space="2" w:color="808080"/>
        </w:pBdr>
      </w:pPr>
      <w:r>
        <w:rPr>
          <w:b/>
          <w:color w:val="1F3D6B"/>
          <w:sz w:val="26"/>
        </w:rPr>
        <w:t>5. How to use this in the exam</w:t>
      </w:r>
    </w:p>
    <w:p>
      <w:pPr>
        <w:pStyle w:val="ListBullet"/>
        <w:spacing w:after="60"/>
      </w:pPr>
      <w:r>
        <w:rPr>
          <w:sz w:val="20"/>
        </w:rPr>
        <w:t>Cite Petra Diamonds when discussing Diamante’s going concern, refinancing, gearing and impairments, because Petra’s real 2025 crisis and 2030 refinancing closely mirror the case.</w:t>
      </w:r>
    </w:p>
    <w:p>
      <w:pPr>
        <w:pStyle w:val="ListBullet"/>
        <w:spacing w:after="60"/>
      </w:pPr>
      <w:r>
        <w:rPr>
          <w:sz w:val="20"/>
        </w:rPr>
        <w:t>Cite Gem Diamonds (Letšeng) when discussing the value-led strategy and the high-value-diamond KPI, because it is the real-world example of quality-over-quantity mining.</w:t>
      </w:r>
    </w:p>
    <w:p>
      <w:pPr>
        <w:pStyle w:val="ListBullet"/>
        <w:spacing w:after="60"/>
      </w:pPr>
      <w:r>
        <w:rPr>
          <w:sz w:val="20"/>
        </w:rPr>
        <w:t>Recommend that Diamante adopt the measures these peers actually use — realised US$ per carat, cost per carat, EBITDA and free cash flow, net-debt reduction, safety (LTIFR) and real ESG outcomes, with a relative-TSR long-term incentive — in place of the weak Document 5 KPIs.</w:t>
      </w:r>
    </w:p>
    <w:p>
      <w:pPr>
        <w:spacing w:after="80"/>
      </w:pPr>
      <w:r>
        <w:rPr>
          <w:b w:val="0"/>
          <w:i/>
          <w:sz w:val="17"/>
        </w:rPr>
        <w:t>Figures are drawn from Petra Diamonds and Gem Diamonds published FY2024/FY2025 results and are approximate; the Rand-to-dollar conversion is an assumption. Verify against the latest annual reports before quoting exact numbers.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