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D6B"/>
          <w:sz w:val="27"/>
        </w:rPr>
        <w:t>Diamante Ltd — Non-Financial KPIs Most Appropriate for Management</w:t>
      </w:r>
    </w:p>
    <w:p>
      <w:pPr>
        <w:pStyle w:val="ListBullet"/>
        <w:spacing w:after="60"/>
      </w:pPr>
      <w:r>
        <w:rPr>
          <w:sz w:val="20"/>
        </w:rPr>
        <w:t>These are non-financial measures, chosen because they track the operational and risk drivers that management controls day to day, not the reported profit.</w:t>
      </w:r>
    </w:p>
    <w:p>
      <w:pPr>
        <w:pStyle w:val="ListBullet"/>
        <w:spacing w:after="60"/>
      </w:pPr>
      <w:r>
        <w:rPr>
          <w:sz w:val="20"/>
        </w:rPr>
        <w:t>Each is substantive for Diamante specifically, because it links to a stated risk, the going-concern pressure, or the value drivers in the pre-release.</w:t>
      </w:r>
    </w:p>
    <w:p>
      <w:pPr>
        <w:pStyle w:val="ListBullet"/>
        <w:spacing w:after="60"/>
      </w:pPr>
      <w:r>
        <w:rPr>
          <w:sz w:val="20"/>
        </w:rPr>
        <w:t>They are grouped as operational, safety and workforce, environmental and licence-to-operate, and market and customer, so management can balance a scorecard rather than chase one number.</w:t>
      </w:r>
    </w:p>
    <w:p>
      <w:pPr>
        <w:spacing w:before="200" w:after="60"/>
        <w:shd w:val="clear" w:fill="1f3d6b"/>
      </w:pPr>
      <w:r>
        <w:rPr>
          <w:b/>
          <w:color w:val="FFFFFF"/>
          <w:sz w:val="23"/>
        </w:rPr>
        <w:t>1 · Operational and production KPIs</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1656"/>
            <w:shd w:val="clear" w:fill="1f5b3a"/>
          </w:tcPr>
          <w:p>
            <w:r/>
            <w:r>
              <w:rPr>
                <w:b/>
                <w:color w:val="FFFFFF"/>
                <w:sz w:val="16"/>
              </w:rPr>
              <w:t>Non-financial KPI</w:t>
            </w:r>
          </w:p>
        </w:tc>
        <w:tc>
          <w:tcPr>
            <w:tcW w:type="dxa" w:w="2232"/>
            <w:shd w:val="clear" w:fill="1f5b3a"/>
          </w:tcPr>
          <w:p>
            <w:r/>
            <w:r>
              <w:rPr>
                <w:b/>
                <w:color w:val="FFFFFF"/>
                <w:sz w:val="16"/>
              </w:rPr>
              <w:t>How it is measured</w:t>
            </w:r>
          </w:p>
        </w:tc>
        <w:tc>
          <w:tcPr>
            <w:tcW w:type="dxa" w:w="1944"/>
            <w:shd w:val="clear" w:fill="1f5b3a"/>
          </w:tcPr>
          <w:p>
            <w:r/>
            <w:r>
              <w:rPr>
                <w:b/>
                <w:color w:val="FFFFFF"/>
                <w:sz w:val="16"/>
              </w:rPr>
              <w:t>What it tells management</w:t>
            </w:r>
          </w:p>
        </w:tc>
        <w:tc>
          <w:tcPr>
            <w:tcW w:type="dxa" w:w="4392"/>
            <w:shd w:val="clear" w:fill="1f5b3a"/>
          </w:tcPr>
          <w:p>
            <w:r/>
            <w:r>
              <w:rPr>
                <w:b/>
                <w:color w:val="FFFFFF"/>
                <w:sz w:val="16"/>
              </w:rPr>
              <w:t>Why it is appropriate for Diamante</w:t>
            </w:r>
          </w:p>
        </w:tc>
      </w:tr>
      <w:tr>
        <w:tc>
          <w:tcPr>
            <w:tcW w:type="dxa" w:w="1656"/>
          </w:tcPr>
          <w:p>
            <w:pPr>
              <w:spacing w:after="20"/>
            </w:pPr>
            <w:r/>
            <w:r>
              <w:rPr>
                <w:sz w:val="16"/>
              </w:rPr>
              <w:t>Volume mined and treated</w:t>
            </w:r>
          </w:p>
        </w:tc>
        <w:tc>
          <w:tcPr>
            <w:tcW w:type="dxa" w:w="2232"/>
          </w:tcPr>
          <w:p>
            <w:pPr>
              <w:spacing w:after="20"/>
            </w:pPr>
            <w:r/>
            <w:r>
              <w:rPr>
                <w:sz w:val="16"/>
              </w:rPr>
              <w:t>Tonnes mined and tonnes treated vs plan</w:t>
            </w:r>
          </w:p>
        </w:tc>
        <w:tc>
          <w:tcPr>
            <w:tcW w:type="dxa" w:w="1944"/>
          </w:tcPr>
          <w:p>
            <w:pPr>
              <w:spacing w:after="20"/>
            </w:pPr>
            <w:r/>
            <w:r>
              <w:rPr>
                <w:sz w:val="16"/>
              </w:rPr>
              <w:t>Whether the mines are hitting the production plan</w:t>
            </w:r>
          </w:p>
        </w:tc>
        <w:tc>
          <w:tcPr>
            <w:tcW w:type="dxa" w:w="4392"/>
          </w:tcPr>
          <w:p>
            <w:pPr>
              <w:spacing w:after="20"/>
            </w:pPr>
            <w:r/>
            <w:r>
              <w:rPr>
                <w:sz w:val="16"/>
              </w:rPr>
              <w:t>Diamante’s survival depends on keeping the mines running, so production against plan is the earliest warning that revenue and cash are at risk.</w:t>
            </w:r>
          </w:p>
        </w:tc>
      </w:tr>
      <w:tr>
        <w:tc>
          <w:tcPr>
            <w:tcW w:type="dxa" w:w="1656"/>
          </w:tcPr>
          <w:p>
            <w:pPr>
              <w:spacing w:after="20"/>
            </w:pPr>
            <w:r/>
            <w:r>
              <w:rPr>
                <w:sz w:val="16"/>
              </w:rPr>
              <w:t>Grade recovered</w:t>
            </w:r>
          </w:p>
        </w:tc>
        <w:tc>
          <w:tcPr>
            <w:tcW w:type="dxa" w:w="2232"/>
          </w:tcPr>
          <w:p>
            <w:pPr>
              <w:spacing w:after="20"/>
            </w:pPr>
            <w:r/>
            <w:r>
              <w:rPr>
                <w:sz w:val="16"/>
              </w:rPr>
              <w:t>Carats per tonne (grade) vs the reserve estimate</w:t>
            </w:r>
          </w:p>
        </w:tc>
        <w:tc>
          <w:tcPr>
            <w:tcW w:type="dxa" w:w="1944"/>
          </w:tcPr>
          <w:p>
            <w:pPr>
              <w:spacing w:after="20"/>
            </w:pPr>
            <w:r/>
            <w:r>
              <w:rPr>
                <w:sz w:val="16"/>
              </w:rPr>
              <w:t>Whether the ore is delivering the expected diamonds</w:t>
            </w:r>
          </w:p>
        </w:tc>
        <w:tc>
          <w:tcPr>
            <w:tcW w:type="dxa" w:w="4392"/>
          </w:tcPr>
          <w:p>
            <w:pPr>
              <w:spacing w:after="20"/>
            </w:pPr>
            <w:r/>
            <w:r>
              <w:rPr>
                <w:sz w:val="16"/>
              </w:rPr>
              <w:t>A falling grade signals resource or plant problems and directly threatens the value and the going-concern assumption.</w:t>
            </w:r>
          </w:p>
        </w:tc>
      </w:tr>
      <w:tr>
        <w:tc>
          <w:tcPr>
            <w:tcW w:type="dxa" w:w="1656"/>
          </w:tcPr>
          <w:p>
            <w:pPr>
              <w:spacing w:after="20"/>
            </w:pPr>
            <w:r/>
            <w:r>
              <w:rPr>
                <w:sz w:val="16"/>
              </w:rPr>
              <w:t>Recovery / plant yield</w:t>
            </w:r>
          </w:p>
        </w:tc>
        <w:tc>
          <w:tcPr>
            <w:tcW w:type="dxa" w:w="2232"/>
          </w:tcPr>
          <w:p>
            <w:pPr>
              <w:spacing w:after="20"/>
            </w:pPr>
            <w:r/>
            <w:r>
              <w:rPr>
                <w:sz w:val="16"/>
              </w:rPr>
              <w:t>Carats recovered ÷ carats in the ore fed × 100</w:t>
            </w:r>
          </w:p>
        </w:tc>
        <w:tc>
          <w:tcPr>
            <w:tcW w:type="dxa" w:w="1944"/>
          </w:tcPr>
          <w:p>
            <w:pPr>
              <w:spacing w:after="20"/>
            </w:pPr>
            <w:r/>
            <w:r>
              <w:rPr>
                <w:sz w:val="16"/>
              </w:rPr>
              <w:t>How efficiently the plant turns ore into sellable diamonds</w:t>
            </w:r>
          </w:p>
        </w:tc>
        <w:tc>
          <w:tcPr>
            <w:tcW w:type="dxa" w:w="4392"/>
          </w:tcPr>
          <w:p>
            <w:pPr>
              <w:spacing w:after="20"/>
            </w:pPr>
            <w:r/>
            <w:r>
              <w:rPr>
                <w:sz w:val="16"/>
              </w:rPr>
              <w:t>Better recovery lifts output without new capital, which is critical while Diamante is capital-constrained and loss-making.</w:t>
            </w:r>
          </w:p>
        </w:tc>
      </w:tr>
      <w:tr>
        <w:tc>
          <w:tcPr>
            <w:tcW w:type="dxa" w:w="1656"/>
          </w:tcPr>
          <w:p>
            <w:pPr>
              <w:spacing w:after="20"/>
            </w:pPr>
            <w:r/>
            <w:r>
              <w:rPr>
                <w:sz w:val="16"/>
              </w:rPr>
              <w:t>Cost per carat (unit, operational view)</w:t>
            </w:r>
          </w:p>
        </w:tc>
        <w:tc>
          <w:tcPr>
            <w:tcW w:type="dxa" w:w="2232"/>
          </w:tcPr>
          <w:p>
            <w:pPr>
              <w:spacing w:after="20"/>
            </w:pPr>
            <w:r/>
            <w:r>
              <w:rPr>
                <w:sz w:val="16"/>
              </w:rPr>
              <w:t>Operating cost ÷ carats produced</w:t>
            </w:r>
          </w:p>
        </w:tc>
        <w:tc>
          <w:tcPr>
            <w:tcW w:type="dxa" w:w="1944"/>
          </w:tcPr>
          <w:p>
            <w:pPr>
              <w:spacing w:after="20"/>
            </w:pPr>
            <w:r/>
            <w:r>
              <w:rPr>
                <w:sz w:val="16"/>
              </w:rPr>
              <w:t>The real unit efficiency of each mine</w:t>
            </w:r>
          </w:p>
        </w:tc>
        <w:tc>
          <w:tcPr>
            <w:tcW w:type="dxa" w:w="4392"/>
          </w:tcPr>
          <w:p>
            <w:pPr>
              <w:spacing w:after="20"/>
            </w:pPr>
            <w:r/>
            <w:r>
              <w:rPr>
                <w:sz w:val="16"/>
              </w:rPr>
              <w:t>It is the industry’s core efficiency measure and lets management compare mines and drive down the cost base that is causing the losses.</w:t>
            </w:r>
          </w:p>
        </w:tc>
      </w:tr>
      <w:tr>
        <w:tc>
          <w:tcPr>
            <w:tcW w:type="dxa" w:w="1656"/>
          </w:tcPr>
          <w:p>
            <w:pPr>
              <w:spacing w:after="20"/>
            </w:pPr>
            <w:r/>
            <w:r>
              <w:rPr>
                <w:sz w:val="16"/>
              </w:rPr>
              <w:t>Capital project delivery</w:t>
            </w:r>
          </w:p>
        </w:tc>
        <w:tc>
          <w:tcPr>
            <w:tcW w:type="dxa" w:w="2232"/>
          </w:tcPr>
          <w:p>
            <w:pPr>
              <w:spacing w:after="20"/>
            </w:pPr>
            <w:r/>
            <w:r>
              <w:rPr>
                <w:sz w:val="16"/>
              </w:rPr>
              <w:t>Project milestones and spend vs plan (on time / on budget)</w:t>
            </w:r>
          </w:p>
        </w:tc>
        <w:tc>
          <w:tcPr>
            <w:tcW w:type="dxa" w:w="1944"/>
          </w:tcPr>
          <w:p>
            <w:pPr>
              <w:spacing w:after="20"/>
            </w:pPr>
            <w:r/>
            <w:r>
              <w:rPr>
                <w:sz w:val="16"/>
              </w:rPr>
              <w:t>Whether expansion or fleet projects stay on track</w:t>
            </w:r>
          </w:p>
        </w:tc>
        <w:tc>
          <w:tcPr>
            <w:tcW w:type="dxa" w:w="4392"/>
          </w:tcPr>
          <w:p>
            <w:pPr>
              <w:spacing w:after="20"/>
            </w:pPr>
            <w:r/>
            <w:r>
              <w:rPr>
                <w:sz w:val="16"/>
              </w:rPr>
              <w:t>Delays or overruns worsen the cash crisis and the refinancing risk, so tracking delivery protects the turnaround.</w:t>
            </w:r>
          </w:p>
        </w:tc>
      </w:tr>
    </w:tbl>
    <w:p>
      <w:pPr>
        <w:spacing w:before="200" w:after="60"/>
        <w:shd w:val="clear" w:fill="1f3d6b"/>
      </w:pPr>
      <w:r>
        <w:rPr>
          <w:b/>
          <w:color w:val="FFFFFF"/>
          <w:sz w:val="23"/>
        </w:rPr>
        <w:t>2 · Safety and workforce KPIs</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1656"/>
            <w:shd w:val="clear" w:fill="1f5b3a"/>
          </w:tcPr>
          <w:p>
            <w:r/>
            <w:r>
              <w:rPr>
                <w:b/>
                <w:color w:val="FFFFFF"/>
                <w:sz w:val="16"/>
              </w:rPr>
              <w:t>Non-financial KPI</w:t>
            </w:r>
          </w:p>
        </w:tc>
        <w:tc>
          <w:tcPr>
            <w:tcW w:type="dxa" w:w="2232"/>
            <w:shd w:val="clear" w:fill="1f5b3a"/>
          </w:tcPr>
          <w:p>
            <w:r/>
            <w:r>
              <w:rPr>
                <w:b/>
                <w:color w:val="FFFFFF"/>
                <w:sz w:val="16"/>
              </w:rPr>
              <w:t>How it is measured</w:t>
            </w:r>
          </w:p>
        </w:tc>
        <w:tc>
          <w:tcPr>
            <w:tcW w:type="dxa" w:w="1944"/>
            <w:shd w:val="clear" w:fill="1f5b3a"/>
          </w:tcPr>
          <w:p>
            <w:r/>
            <w:r>
              <w:rPr>
                <w:b/>
                <w:color w:val="FFFFFF"/>
                <w:sz w:val="16"/>
              </w:rPr>
              <w:t>What it tells management</w:t>
            </w:r>
          </w:p>
        </w:tc>
        <w:tc>
          <w:tcPr>
            <w:tcW w:type="dxa" w:w="4392"/>
            <w:shd w:val="clear" w:fill="1f5b3a"/>
          </w:tcPr>
          <w:p>
            <w:r/>
            <w:r>
              <w:rPr>
                <w:b/>
                <w:color w:val="FFFFFF"/>
                <w:sz w:val="16"/>
              </w:rPr>
              <w:t>Why it is appropriate for Diamante</w:t>
            </w:r>
          </w:p>
        </w:tc>
      </w:tr>
      <w:tr>
        <w:tc>
          <w:tcPr>
            <w:tcW w:type="dxa" w:w="1656"/>
          </w:tcPr>
          <w:p>
            <w:pPr>
              <w:spacing w:after="20"/>
            </w:pPr>
            <w:r/>
            <w:r>
              <w:rPr>
                <w:sz w:val="16"/>
              </w:rPr>
              <w:t>Safety (LTIFR / TRIFR)</w:t>
            </w:r>
          </w:p>
        </w:tc>
        <w:tc>
          <w:tcPr>
            <w:tcW w:type="dxa" w:w="2232"/>
          </w:tcPr>
          <w:p>
            <w:pPr>
              <w:spacing w:after="20"/>
            </w:pPr>
            <w:r/>
            <w:r>
              <w:rPr>
                <w:sz w:val="16"/>
              </w:rPr>
              <w:t>Lost-time injuries × 1 000 000 ÷ hours worked</w:t>
            </w:r>
          </w:p>
        </w:tc>
        <w:tc>
          <w:tcPr>
            <w:tcW w:type="dxa" w:w="1944"/>
          </w:tcPr>
          <w:p>
            <w:pPr>
              <w:spacing w:after="20"/>
            </w:pPr>
            <w:r/>
            <w:r>
              <w:rPr>
                <w:sz w:val="16"/>
              </w:rPr>
              <w:t>The injury rate across the operations</w:t>
            </w:r>
          </w:p>
        </w:tc>
        <w:tc>
          <w:tcPr>
            <w:tcW w:type="dxa" w:w="4392"/>
          </w:tcPr>
          <w:p>
            <w:pPr>
              <w:spacing w:after="20"/>
            </w:pPr>
            <w:r/>
            <w:r>
              <w:rPr>
                <w:sz w:val="16"/>
              </w:rPr>
              <w:t>Deep-level mining is high-risk and a serious incident can halt a mine and threaten going concern, so safety must be a headline non-financial measure.</w:t>
            </w:r>
          </w:p>
        </w:tc>
      </w:tr>
      <w:tr>
        <w:tc>
          <w:tcPr>
            <w:tcW w:type="dxa" w:w="1656"/>
          </w:tcPr>
          <w:p>
            <w:pPr>
              <w:spacing w:after="20"/>
            </w:pPr>
            <w:r/>
            <w:r>
              <w:rPr>
                <w:sz w:val="16"/>
              </w:rPr>
              <w:t>Fatalities</w:t>
            </w:r>
          </w:p>
        </w:tc>
        <w:tc>
          <w:tcPr>
            <w:tcW w:type="dxa" w:w="2232"/>
          </w:tcPr>
          <w:p>
            <w:pPr>
              <w:spacing w:after="20"/>
            </w:pPr>
            <w:r/>
            <w:r>
              <w:rPr>
                <w:sz w:val="16"/>
              </w:rPr>
              <w:t>Number of fatalities (target zero)</w:t>
            </w:r>
          </w:p>
        </w:tc>
        <w:tc>
          <w:tcPr>
            <w:tcW w:type="dxa" w:w="1944"/>
          </w:tcPr>
          <w:p>
            <w:pPr>
              <w:spacing w:after="20"/>
            </w:pPr>
            <w:r/>
            <w:r>
              <w:rPr>
                <w:sz w:val="16"/>
              </w:rPr>
              <w:t>The most serious safety outcome</w:t>
            </w:r>
          </w:p>
        </w:tc>
        <w:tc>
          <w:tcPr>
            <w:tcW w:type="dxa" w:w="4392"/>
          </w:tcPr>
          <w:p>
            <w:pPr>
              <w:spacing w:after="20"/>
            </w:pPr>
            <w:r/>
            <w:r>
              <w:rPr>
                <w:sz w:val="16"/>
              </w:rPr>
              <w:t>A single fatality can trigger a Section 54 stoppage and reputational damage, so it must be tracked separately from the injury rate.</w:t>
            </w:r>
          </w:p>
        </w:tc>
      </w:tr>
      <w:tr>
        <w:tc>
          <w:tcPr>
            <w:tcW w:type="dxa" w:w="1656"/>
          </w:tcPr>
          <w:p>
            <w:pPr>
              <w:spacing w:after="20"/>
            </w:pPr>
            <w:r/>
            <w:r>
              <w:rPr>
                <w:sz w:val="16"/>
              </w:rPr>
              <w:t>Section 54 stoppages</w:t>
            </w:r>
          </w:p>
        </w:tc>
        <w:tc>
          <w:tcPr>
            <w:tcW w:type="dxa" w:w="2232"/>
          </w:tcPr>
          <w:p>
            <w:pPr>
              <w:spacing w:after="20"/>
            </w:pPr>
            <w:r/>
            <w:r>
              <w:rPr>
                <w:sz w:val="16"/>
              </w:rPr>
              <w:t>Number and days lost to safety stoppages</w:t>
            </w:r>
          </w:p>
        </w:tc>
        <w:tc>
          <w:tcPr>
            <w:tcW w:type="dxa" w:w="1944"/>
          </w:tcPr>
          <w:p>
            <w:pPr>
              <w:spacing w:after="20"/>
            </w:pPr>
            <w:r/>
            <w:r>
              <w:rPr>
                <w:sz w:val="16"/>
              </w:rPr>
              <w:t>Regulatory safety interruptions to production</w:t>
            </w:r>
          </w:p>
        </w:tc>
        <w:tc>
          <w:tcPr>
            <w:tcW w:type="dxa" w:w="4392"/>
          </w:tcPr>
          <w:p>
            <w:pPr>
              <w:spacing w:after="20"/>
            </w:pPr>
            <w:r/>
            <w:r>
              <w:rPr>
                <w:sz w:val="16"/>
              </w:rPr>
              <w:t>These stoppages directly cut production and cash, making them a leading non-financial indicator of lost output.</w:t>
            </w:r>
          </w:p>
        </w:tc>
      </w:tr>
      <w:tr>
        <w:tc>
          <w:tcPr>
            <w:tcW w:type="dxa" w:w="1656"/>
          </w:tcPr>
          <w:p>
            <w:pPr>
              <w:spacing w:after="20"/>
            </w:pPr>
            <w:r/>
            <w:r>
              <w:rPr>
                <w:sz w:val="16"/>
              </w:rPr>
              <w:t>Employee turnover / absenteeism</w:t>
            </w:r>
          </w:p>
        </w:tc>
        <w:tc>
          <w:tcPr>
            <w:tcW w:type="dxa" w:w="2232"/>
          </w:tcPr>
          <w:p>
            <w:pPr>
              <w:spacing w:after="20"/>
            </w:pPr>
            <w:r/>
            <w:r>
              <w:rPr>
                <w:sz w:val="16"/>
              </w:rPr>
              <w:t>Leavers ÷ average headcount × 100; days absent</w:t>
            </w:r>
          </w:p>
        </w:tc>
        <w:tc>
          <w:tcPr>
            <w:tcW w:type="dxa" w:w="1944"/>
          </w:tcPr>
          <w:p>
            <w:pPr>
              <w:spacing w:after="20"/>
            </w:pPr>
            <w:r/>
            <w:r>
              <w:rPr>
                <w:sz w:val="16"/>
              </w:rPr>
              <w:t>Workforce stability and morale</w:t>
            </w:r>
          </w:p>
        </w:tc>
        <w:tc>
          <w:tcPr>
            <w:tcW w:type="dxa" w:w="4392"/>
          </w:tcPr>
          <w:p>
            <w:pPr>
              <w:spacing w:after="20"/>
            </w:pPr>
            <w:r/>
            <w:r>
              <w:rPr>
                <w:sz w:val="16"/>
              </w:rPr>
              <w:t>A stable, skilled workforce is needed to run deep mines safely, and high turnover raises cost and safety risk.</w:t>
            </w:r>
          </w:p>
        </w:tc>
      </w:tr>
      <w:tr>
        <w:tc>
          <w:tcPr>
            <w:tcW w:type="dxa" w:w="1656"/>
          </w:tcPr>
          <w:p>
            <w:pPr>
              <w:spacing w:after="20"/>
            </w:pPr>
            <w:r/>
            <w:r>
              <w:rPr>
                <w:sz w:val="16"/>
              </w:rPr>
              <w:t>Training and skills</w:t>
            </w:r>
          </w:p>
        </w:tc>
        <w:tc>
          <w:tcPr>
            <w:tcW w:type="dxa" w:w="2232"/>
          </w:tcPr>
          <w:p>
            <w:pPr>
              <w:spacing w:after="20"/>
            </w:pPr>
            <w:r/>
            <w:r>
              <w:rPr>
                <w:sz w:val="16"/>
              </w:rPr>
              <w:t>Training hours or spend per employee; % critical roles filled</w:t>
            </w:r>
          </w:p>
        </w:tc>
        <w:tc>
          <w:tcPr>
            <w:tcW w:type="dxa" w:w="1944"/>
          </w:tcPr>
          <w:p>
            <w:pPr>
              <w:spacing w:after="20"/>
            </w:pPr>
            <w:r/>
            <w:r>
              <w:rPr>
                <w:sz w:val="16"/>
              </w:rPr>
              <w:t>Whether the workforce is being developed</w:t>
            </w:r>
          </w:p>
        </w:tc>
        <w:tc>
          <w:tcPr>
            <w:tcW w:type="dxa" w:w="4392"/>
          </w:tcPr>
          <w:p>
            <w:pPr>
              <w:spacing w:after="20"/>
            </w:pPr>
            <w:r/>
            <w:r>
              <w:rPr>
                <w:sz w:val="16"/>
              </w:rPr>
              <w:t>Skills protect safety and productivity and support transformation, which matters for the mining licence.</w:t>
            </w:r>
          </w:p>
        </w:tc>
      </w:tr>
    </w:tbl>
    <w:p>
      <w:pPr>
        <w:spacing w:before="200" w:after="60"/>
        <w:shd w:val="clear" w:fill="1f3d6b"/>
      </w:pPr>
      <w:r>
        <w:rPr>
          <w:b/>
          <w:color w:val="FFFFFF"/>
          <w:sz w:val="23"/>
        </w:rPr>
        <w:t>3 · Environmental and licence-to-operate KPIs</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1656"/>
            <w:shd w:val="clear" w:fill="1f5b3a"/>
          </w:tcPr>
          <w:p>
            <w:r/>
            <w:r>
              <w:rPr>
                <w:b/>
                <w:color w:val="FFFFFF"/>
                <w:sz w:val="16"/>
              </w:rPr>
              <w:t>Non-financial KPI</w:t>
            </w:r>
          </w:p>
        </w:tc>
        <w:tc>
          <w:tcPr>
            <w:tcW w:type="dxa" w:w="2232"/>
            <w:shd w:val="clear" w:fill="1f5b3a"/>
          </w:tcPr>
          <w:p>
            <w:r/>
            <w:r>
              <w:rPr>
                <w:b/>
                <w:color w:val="FFFFFF"/>
                <w:sz w:val="16"/>
              </w:rPr>
              <w:t>How it is measured</w:t>
            </w:r>
          </w:p>
        </w:tc>
        <w:tc>
          <w:tcPr>
            <w:tcW w:type="dxa" w:w="1944"/>
            <w:shd w:val="clear" w:fill="1f5b3a"/>
          </w:tcPr>
          <w:p>
            <w:r/>
            <w:r>
              <w:rPr>
                <w:b/>
                <w:color w:val="FFFFFF"/>
                <w:sz w:val="16"/>
              </w:rPr>
              <w:t>What it tells management</w:t>
            </w:r>
          </w:p>
        </w:tc>
        <w:tc>
          <w:tcPr>
            <w:tcW w:type="dxa" w:w="4392"/>
            <w:shd w:val="clear" w:fill="1f5b3a"/>
          </w:tcPr>
          <w:p>
            <w:r/>
            <w:r>
              <w:rPr>
                <w:b/>
                <w:color w:val="FFFFFF"/>
                <w:sz w:val="16"/>
              </w:rPr>
              <w:t>Why it is appropriate for Diamante</w:t>
            </w:r>
          </w:p>
        </w:tc>
      </w:tr>
      <w:tr>
        <w:tc>
          <w:tcPr>
            <w:tcW w:type="dxa" w:w="1656"/>
          </w:tcPr>
          <w:p>
            <w:pPr>
              <w:spacing w:after="20"/>
            </w:pPr>
            <w:r/>
            <w:r>
              <w:rPr>
                <w:sz w:val="16"/>
              </w:rPr>
              <w:t>GHG emissions vs roadmap</w:t>
            </w:r>
          </w:p>
        </w:tc>
        <w:tc>
          <w:tcPr>
            <w:tcW w:type="dxa" w:w="2232"/>
          </w:tcPr>
          <w:p>
            <w:pPr>
              <w:spacing w:after="20"/>
            </w:pPr>
            <w:r/>
            <w:r>
              <w:rPr>
                <w:sz w:val="16"/>
              </w:rPr>
              <w:t>(baseline − current) ÷ baseline × 100; tCO2e per carat</w:t>
            </w:r>
          </w:p>
        </w:tc>
        <w:tc>
          <w:tcPr>
            <w:tcW w:type="dxa" w:w="1944"/>
          </w:tcPr>
          <w:p>
            <w:pPr>
              <w:spacing w:after="20"/>
            </w:pPr>
            <w:r/>
            <w:r>
              <w:rPr>
                <w:sz w:val="16"/>
              </w:rPr>
              <w:t>Progress against the emissions target</w:t>
            </w:r>
          </w:p>
        </w:tc>
        <w:tc>
          <w:tcPr>
            <w:tcW w:type="dxa" w:w="4392"/>
          </w:tcPr>
          <w:p>
            <w:pPr>
              <w:spacing w:after="20"/>
            </w:pPr>
            <w:r/>
            <w:r>
              <w:rPr>
                <w:sz w:val="16"/>
              </w:rPr>
              <w:t>It tracks Diamante’s own 35–40% target and manages carbon-tax and transition risk that threaten future value.</w:t>
            </w:r>
          </w:p>
        </w:tc>
      </w:tr>
      <w:tr>
        <w:tc>
          <w:tcPr>
            <w:tcW w:type="dxa" w:w="1656"/>
          </w:tcPr>
          <w:p>
            <w:pPr>
              <w:spacing w:after="20"/>
            </w:pPr>
            <w:r/>
            <w:r>
              <w:rPr>
                <w:sz w:val="16"/>
              </w:rPr>
              <w:t>Water recycled / used</w:t>
            </w:r>
          </w:p>
        </w:tc>
        <w:tc>
          <w:tcPr>
            <w:tcW w:type="dxa" w:w="2232"/>
          </w:tcPr>
          <w:p>
            <w:pPr>
              <w:spacing w:after="20"/>
            </w:pPr>
            <w:r/>
            <w:r>
              <w:rPr>
                <w:sz w:val="16"/>
              </w:rPr>
              <w:t>Recycled water ÷ total water × 100; water per carat</w:t>
            </w:r>
          </w:p>
        </w:tc>
        <w:tc>
          <w:tcPr>
            <w:tcW w:type="dxa" w:w="1944"/>
          </w:tcPr>
          <w:p>
            <w:pPr>
              <w:spacing w:after="20"/>
            </w:pPr>
            <w:r/>
            <w:r>
              <w:rPr>
                <w:sz w:val="16"/>
              </w:rPr>
              <w:t>Water efficiency at the mines</w:t>
            </w:r>
          </w:p>
        </w:tc>
        <w:tc>
          <w:tcPr>
            <w:tcW w:type="dxa" w:w="4392"/>
          </w:tcPr>
          <w:p>
            <w:pPr>
              <w:spacing w:after="20"/>
            </w:pPr>
            <w:r/>
            <w:r>
              <w:rPr>
                <w:sz w:val="16"/>
              </w:rPr>
              <w:t>Diamante mines in water-scarce areas and lists restricted water as a key risk, so this protects production and the licence to operate.</w:t>
            </w:r>
          </w:p>
        </w:tc>
      </w:tr>
      <w:tr>
        <w:tc>
          <w:tcPr>
            <w:tcW w:type="dxa" w:w="1656"/>
          </w:tcPr>
          <w:p>
            <w:pPr>
              <w:spacing w:after="20"/>
            </w:pPr>
            <w:r/>
            <w:r>
              <w:rPr>
                <w:sz w:val="16"/>
              </w:rPr>
              <w:t>Rehabilitation progress</w:t>
            </w:r>
          </w:p>
        </w:tc>
        <w:tc>
          <w:tcPr>
            <w:tcW w:type="dxa" w:w="2232"/>
          </w:tcPr>
          <w:p>
            <w:pPr>
              <w:spacing w:after="20"/>
            </w:pPr>
            <w:r/>
            <w:r>
              <w:rPr>
                <w:sz w:val="16"/>
              </w:rPr>
              <w:t>Rehabilitated ÷ disturbed area × 100; provision vs closure cost</w:t>
            </w:r>
          </w:p>
        </w:tc>
        <w:tc>
          <w:tcPr>
            <w:tcW w:type="dxa" w:w="1944"/>
          </w:tcPr>
          <w:p>
            <w:pPr>
              <w:spacing w:after="20"/>
            </w:pPr>
            <w:r/>
            <w:r>
              <w:rPr>
                <w:sz w:val="16"/>
              </w:rPr>
              <w:t>How much land is restored and if the provision is adequate</w:t>
            </w:r>
          </w:p>
        </w:tc>
        <w:tc>
          <w:tcPr>
            <w:tcW w:type="dxa" w:w="4392"/>
          </w:tcPr>
          <w:p>
            <w:pPr>
              <w:spacing w:after="20"/>
            </w:pPr>
            <w:r/>
            <w:r>
              <w:rPr>
                <w:sz w:val="16"/>
              </w:rPr>
              <w:t>It underpins the IAS 37 provision and guards against understated closure liabilities and fines.</w:t>
            </w:r>
          </w:p>
        </w:tc>
      </w:tr>
      <w:tr>
        <w:tc>
          <w:tcPr>
            <w:tcW w:type="dxa" w:w="1656"/>
          </w:tcPr>
          <w:p>
            <w:pPr>
              <w:spacing w:after="20"/>
            </w:pPr>
            <w:r/>
            <w:r>
              <w:rPr>
                <w:sz w:val="16"/>
              </w:rPr>
              <w:t>Tailings safety</w:t>
            </w:r>
          </w:p>
        </w:tc>
        <w:tc>
          <w:tcPr>
            <w:tcW w:type="dxa" w:w="2232"/>
          </w:tcPr>
          <w:p>
            <w:pPr>
              <w:spacing w:after="20"/>
            </w:pPr>
            <w:r/>
            <w:r>
              <w:rPr>
                <w:sz w:val="16"/>
              </w:rPr>
              <w:t>Audits passed and number of incidents</w:t>
            </w:r>
          </w:p>
        </w:tc>
        <w:tc>
          <w:tcPr>
            <w:tcW w:type="dxa" w:w="1944"/>
          </w:tcPr>
          <w:p>
            <w:pPr>
              <w:spacing w:after="20"/>
            </w:pPr>
            <w:r/>
            <w:r>
              <w:rPr>
                <w:sz w:val="16"/>
              </w:rPr>
              <w:t>Whether tailings facilities are safe and compliant</w:t>
            </w:r>
          </w:p>
        </w:tc>
        <w:tc>
          <w:tcPr>
            <w:tcW w:type="dxa" w:w="4392"/>
          </w:tcPr>
          <w:p>
            <w:pPr>
              <w:spacing w:after="20"/>
            </w:pPr>
            <w:r/>
            <w:r>
              <w:rPr>
                <w:sz w:val="16"/>
              </w:rPr>
              <w:t>Tailings failure is a stated risk that could cause deaths, fines and a production stoppage, so it directly protects going concern.</w:t>
            </w:r>
          </w:p>
        </w:tc>
      </w:tr>
      <w:tr>
        <w:tc>
          <w:tcPr>
            <w:tcW w:type="dxa" w:w="1656"/>
          </w:tcPr>
          <w:p>
            <w:pPr>
              <w:spacing w:after="20"/>
            </w:pPr>
            <w:r/>
            <w:r>
              <w:rPr>
                <w:sz w:val="16"/>
              </w:rPr>
              <w:t>Community relations</w:t>
            </w:r>
          </w:p>
        </w:tc>
        <w:tc>
          <w:tcPr>
            <w:tcW w:type="dxa" w:w="2232"/>
          </w:tcPr>
          <w:p>
            <w:pPr>
              <w:spacing w:after="20"/>
            </w:pPr>
            <w:r/>
            <w:r>
              <w:rPr>
                <w:sz w:val="16"/>
              </w:rPr>
              <w:t>Number of community incidents, disruptions or unrest days</w:t>
            </w:r>
          </w:p>
        </w:tc>
        <w:tc>
          <w:tcPr>
            <w:tcW w:type="dxa" w:w="1944"/>
          </w:tcPr>
          <w:p>
            <w:pPr>
              <w:spacing w:after="20"/>
            </w:pPr>
            <w:r/>
            <w:r>
              <w:rPr>
                <w:sz w:val="16"/>
              </w:rPr>
              <w:t>The strength of the social licence</w:t>
            </w:r>
          </w:p>
        </w:tc>
        <w:tc>
          <w:tcPr>
            <w:tcW w:type="dxa" w:w="4392"/>
          </w:tcPr>
          <w:p>
            <w:pPr>
              <w:spacing w:after="20"/>
            </w:pPr>
            <w:r/>
            <w:r>
              <w:rPr>
                <w:sz w:val="16"/>
              </w:rPr>
              <w:t>Diamante lists community unrest and riots as a delivery risk, so tracking incidents gives early warning of disruption.</w:t>
            </w:r>
          </w:p>
        </w:tc>
      </w:tr>
    </w:tbl>
    <w:p>
      <w:pPr>
        <w:spacing w:before="200" w:after="60"/>
        <w:shd w:val="clear" w:fill="1f3d6b"/>
      </w:pPr>
      <w:r>
        <w:rPr>
          <w:b/>
          <w:color w:val="FFFFFF"/>
          <w:sz w:val="23"/>
        </w:rPr>
        <w:t>4 · Market, customer and governance KPIs</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1656"/>
            <w:shd w:val="clear" w:fill="1f5b3a"/>
          </w:tcPr>
          <w:p>
            <w:r/>
            <w:r>
              <w:rPr>
                <w:b/>
                <w:color w:val="FFFFFF"/>
                <w:sz w:val="16"/>
              </w:rPr>
              <w:t>Non-financial KPI</w:t>
            </w:r>
          </w:p>
        </w:tc>
        <w:tc>
          <w:tcPr>
            <w:tcW w:type="dxa" w:w="2232"/>
            <w:shd w:val="clear" w:fill="1f5b3a"/>
          </w:tcPr>
          <w:p>
            <w:r/>
            <w:r>
              <w:rPr>
                <w:b/>
                <w:color w:val="FFFFFF"/>
                <w:sz w:val="16"/>
              </w:rPr>
              <w:t>How it is measured</w:t>
            </w:r>
          </w:p>
        </w:tc>
        <w:tc>
          <w:tcPr>
            <w:tcW w:type="dxa" w:w="1944"/>
            <w:shd w:val="clear" w:fill="1f5b3a"/>
          </w:tcPr>
          <w:p>
            <w:r/>
            <w:r>
              <w:rPr>
                <w:b/>
                <w:color w:val="FFFFFF"/>
                <w:sz w:val="16"/>
              </w:rPr>
              <w:t>What it tells management</w:t>
            </w:r>
          </w:p>
        </w:tc>
        <w:tc>
          <w:tcPr>
            <w:tcW w:type="dxa" w:w="4392"/>
            <w:shd w:val="clear" w:fill="1f5b3a"/>
          </w:tcPr>
          <w:p>
            <w:r/>
            <w:r>
              <w:rPr>
                <w:b/>
                <w:color w:val="FFFFFF"/>
                <w:sz w:val="16"/>
              </w:rPr>
              <w:t>Why it is appropriate for Diamante</w:t>
            </w:r>
          </w:p>
        </w:tc>
      </w:tr>
      <w:tr>
        <w:tc>
          <w:tcPr>
            <w:tcW w:type="dxa" w:w="1656"/>
          </w:tcPr>
          <w:p>
            <w:pPr>
              <w:spacing w:after="20"/>
            </w:pPr>
            <w:r/>
            <w:r>
              <w:rPr>
                <w:sz w:val="16"/>
              </w:rPr>
              <w:t>Realised price vs index</w:t>
            </w:r>
          </w:p>
        </w:tc>
        <w:tc>
          <w:tcPr>
            <w:tcW w:type="dxa" w:w="2232"/>
          </w:tcPr>
          <w:p>
            <w:pPr>
              <w:spacing w:after="20"/>
            </w:pPr>
            <w:r/>
            <w:r>
              <w:rPr>
                <w:sz w:val="16"/>
              </w:rPr>
              <w:t>Realised US$/carat vs the market rough-diamond index</w:t>
            </w:r>
          </w:p>
        </w:tc>
        <w:tc>
          <w:tcPr>
            <w:tcW w:type="dxa" w:w="1944"/>
          </w:tcPr>
          <w:p>
            <w:pPr>
              <w:spacing w:after="20"/>
            </w:pPr>
            <w:r/>
            <w:r>
              <w:rPr>
                <w:sz w:val="16"/>
              </w:rPr>
              <w:t>Whether Diamante sells at, above or below the market</w:t>
            </w:r>
          </w:p>
        </w:tc>
        <w:tc>
          <w:tcPr>
            <w:tcW w:type="dxa" w:w="4392"/>
          </w:tcPr>
          <w:p>
            <w:pPr>
              <w:spacing w:after="20"/>
            </w:pPr>
            <w:r/>
            <w:r>
              <w:rPr>
                <w:sz w:val="16"/>
              </w:rPr>
              <w:t>It separates market moves from Diamante’s own sales and marketing performance, which management can act on.</w:t>
            </w:r>
          </w:p>
        </w:tc>
      </w:tr>
      <w:tr>
        <w:tc>
          <w:tcPr>
            <w:tcW w:type="dxa" w:w="1656"/>
          </w:tcPr>
          <w:p>
            <w:pPr>
              <w:spacing w:after="20"/>
            </w:pPr>
            <w:r/>
            <w:r>
              <w:rPr>
                <w:sz w:val="16"/>
              </w:rPr>
              <w:t>Order book / sales conversion</w:t>
            </w:r>
          </w:p>
        </w:tc>
        <w:tc>
          <w:tcPr>
            <w:tcW w:type="dxa" w:w="2232"/>
          </w:tcPr>
          <w:p>
            <w:pPr>
              <w:spacing w:after="20"/>
            </w:pPr>
            <w:r/>
            <w:r>
              <w:rPr>
                <w:sz w:val="16"/>
              </w:rPr>
              <w:t>Volume sold ÷ volume produced; tender demand</w:t>
            </w:r>
          </w:p>
        </w:tc>
        <w:tc>
          <w:tcPr>
            <w:tcW w:type="dxa" w:w="1944"/>
          </w:tcPr>
          <w:p>
            <w:pPr>
              <w:spacing w:after="20"/>
            </w:pPr>
            <w:r/>
            <w:r>
              <w:rPr>
                <w:sz w:val="16"/>
              </w:rPr>
              <w:t>Whether production is actually being sold</w:t>
            </w:r>
          </w:p>
        </w:tc>
        <w:tc>
          <w:tcPr>
            <w:tcW w:type="dxa" w:w="4392"/>
          </w:tcPr>
          <w:p>
            <w:pPr>
              <w:spacing w:after="20"/>
            </w:pPr>
            <w:r/>
            <w:r>
              <w:rPr>
                <w:sz w:val="16"/>
              </w:rPr>
              <w:t>Unsold stock ties up cash Diamante cannot spare, so conversion is a direct non-financial cash signal.</w:t>
            </w:r>
          </w:p>
        </w:tc>
      </w:tr>
      <w:tr>
        <w:tc>
          <w:tcPr>
            <w:tcW w:type="dxa" w:w="1656"/>
          </w:tcPr>
          <w:p>
            <w:pPr>
              <w:spacing w:after="20"/>
            </w:pPr>
            <w:r/>
            <w:r>
              <w:rPr>
                <w:sz w:val="16"/>
              </w:rPr>
              <w:t>Ethical sourcing / traceability</w:t>
            </w:r>
          </w:p>
        </w:tc>
        <w:tc>
          <w:tcPr>
            <w:tcW w:type="dxa" w:w="2232"/>
          </w:tcPr>
          <w:p>
            <w:pPr>
              <w:spacing w:after="20"/>
            </w:pPr>
            <w:r/>
            <w:r>
              <w:rPr>
                <w:sz w:val="16"/>
              </w:rPr>
              <w:t>Certified conflict-free ÷ total production × 100</w:t>
            </w:r>
          </w:p>
        </w:tc>
        <w:tc>
          <w:tcPr>
            <w:tcW w:type="dxa" w:w="1944"/>
          </w:tcPr>
          <w:p>
            <w:pPr>
              <w:spacing w:after="20"/>
            </w:pPr>
            <w:r/>
            <w:r>
              <w:rPr>
                <w:sz w:val="16"/>
              </w:rPr>
              <w:t>The share of production certified and traceable</w:t>
            </w:r>
          </w:p>
        </w:tc>
        <w:tc>
          <w:tcPr>
            <w:tcW w:type="dxa" w:w="4392"/>
          </w:tcPr>
          <w:p>
            <w:pPr>
              <w:spacing w:after="20"/>
            </w:pPr>
            <w:r/>
            <w:r>
              <w:rPr>
                <w:sz w:val="16"/>
              </w:rPr>
              <w:t>Traceability and never mixing production are central to Diamante and protect brand value and market access.</w:t>
            </w:r>
          </w:p>
        </w:tc>
      </w:tr>
      <w:tr>
        <w:tc>
          <w:tcPr>
            <w:tcW w:type="dxa" w:w="1656"/>
          </w:tcPr>
          <w:p>
            <w:pPr>
              <w:spacing w:after="20"/>
            </w:pPr>
            <w:r/>
            <w:r>
              <w:rPr>
                <w:sz w:val="16"/>
              </w:rPr>
              <w:t>Ethics and compliance</w:t>
            </w:r>
          </w:p>
        </w:tc>
        <w:tc>
          <w:tcPr>
            <w:tcW w:type="dxa" w:w="2232"/>
          </w:tcPr>
          <w:p>
            <w:pPr>
              <w:spacing w:after="20"/>
            </w:pPr>
            <w:r/>
            <w:r>
              <w:rPr>
                <w:sz w:val="16"/>
              </w:rPr>
              <w:t>Count of breaches, whistleblower reports and findings</w:t>
            </w:r>
          </w:p>
        </w:tc>
        <w:tc>
          <w:tcPr>
            <w:tcW w:type="dxa" w:w="1944"/>
          </w:tcPr>
          <w:p>
            <w:pPr>
              <w:spacing w:after="20"/>
            </w:pPr>
            <w:r/>
            <w:r>
              <w:rPr>
                <w:sz w:val="16"/>
              </w:rPr>
              <w:t>The level of ethics and compliance incidents</w:t>
            </w:r>
          </w:p>
        </w:tc>
        <w:tc>
          <w:tcPr>
            <w:tcW w:type="dxa" w:w="4392"/>
          </w:tcPr>
          <w:p>
            <w:pPr>
              <w:spacing w:after="20"/>
            </w:pPr>
            <w:r/>
            <w:r>
              <w:rPr>
                <w:sz w:val="16"/>
              </w:rPr>
              <w:t>A low number supports King IV and protects Diamante from fines and reputational harm while it is under scrutiny.</w:t>
            </w:r>
          </w:p>
        </w:tc>
      </w:tr>
    </w:tbl>
    <w:p>
      <w:pPr>
        <w:spacing w:after="80"/>
      </w:pPr>
      <w:r>
        <w:rPr>
          <w:i/>
          <w:sz w:val="17"/>
        </w:rPr>
        <w:t>How management should use these: choose a small balanced set across the four groups rather than all of them, set a target for each, and weight them modestly against the financial measures. Pair the safety, tailings and rehabilitation KPIs with any cost or cash target so managers cannot improve the numbers by cutting essential spend. Several KPIs need production, safety and sustainability data that Diamante does not disclose in the pre-release and that should be requested.</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