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6B"/>
          <w:sz w:val="27"/>
        </w:rPr>
        <w:t>Diamante Ltd — Best KPI From Each Part of the Balanced Scorecard</w:t>
      </w:r>
    </w:p>
    <w:p>
      <w:pPr>
        <w:pStyle w:val="ListBullet"/>
        <w:spacing w:after="60"/>
      </w:pPr>
      <w:r>
        <w:rPr>
          <w:sz w:val="20"/>
        </w:rPr>
        <w:t>The Balanced Scorecard has four parts, so the strongest single measure is chosen from each to give management a balanced set of just four.</w:t>
      </w:r>
    </w:p>
    <w:p>
      <w:pPr>
        <w:pStyle w:val="ListBullet"/>
        <w:spacing w:after="60"/>
      </w:pPr>
      <w:r>
        <w:rPr>
          <w:sz w:val="20"/>
        </w:rPr>
        <w:t>Each pick is the one that best matches Diamante’s position — the cash and going-concern pressure, the loss-making cost base, and the mining risks.</w:t>
      </w:r>
    </w:p>
    <w:p>
      <w:pPr>
        <w:pStyle w:val="ListBullet"/>
        <w:spacing w:after="60"/>
      </w:pPr>
      <w:r>
        <w:rPr>
          <w:sz w:val="20"/>
        </w:rPr>
        <w:t>The set mixes leading and lagging indicators and respects the controllability principle, so no manager is judged on the diamond price.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512"/>
            <w:shd w:val="clear" w:fill="1f5b3a"/>
          </w:tcPr>
          <w:p>
            <w:r/>
            <w:r>
              <w:rPr>
                <w:b/>
                <w:color w:val="FFFFFF"/>
                <w:sz w:val="17"/>
              </w:rPr>
              <w:t>Balanced Scorecard part</w:t>
            </w:r>
          </w:p>
        </w:tc>
        <w:tc>
          <w:tcPr>
            <w:tcW w:type="dxa" w:w="1656"/>
            <w:shd w:val="clear" w:fill="1f5b3a"/>
          </w:tcPr>
          <w:p>
            <w:r/>
            <w:r>
              <w:rPr>
                <w:b/>
                <w:color w:val="FFFFFF"/>
                <w:sz w:val="17"/>
              </w:rPr>
              <w:t>Best KPI for Diamante</w:t>
            </w:r>
          </w:p>
        </w:tc>
        <w:tc>
          <w:tcPr>
            <w:tcW w:type="dxa" w:w="1944"/>
            <w:shd w:val="clear" w:fill="1f5b3a"/>
          </w:tcPr>
          <w:p>
            <w:r/>
            <w:r>
              <w:rPr>
                <w:b/>
                <w:color w:val="FFFFFF"/>
                <w:sz w:val="17"/>
              </w:rPr>
              <w:t>How it is measured</w:t>
            </w:r>
          </w:p>
        </w:tc>
        <w:tc>
          <w:tcPr>
            <w:tcW w:type="dxa" w:w="1037"/>
            <w:shd w:val="clear" w:fill="1f5b3a"/>
          </w:tcPr>
          <w:p>
            <w:r/>
            <w:r>
              <w:rPr>
                <w:b/>
                <w:color w:val="FFFFFF"/>
                <w:sz w:val="17"/>
              </w:rPr>
              <w:t>Leading / lagging</w:t>
            </w:r>
          </w:p>
        </w:tc>
        <w:tc>
          <w:tcPr>
            <w:tcW w:type="dxa" w:w="4867"/>
            <w:shd w:val="clear" w:fill="1f5b3a"/>
          </w:tcPr>
          <w:p>
            <w:r/>
            <w:r>
              <w:rPr>
                <w:b/>
                <w:color w:val="FFFFFF"/>
                <w:sz w:val="17"/>
              </w:rPr>
              <w:t>Why it is the best pick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7"/>
              </w:rPr>
              <w:t>Financial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7"/>
              </w:rPr>
              <w:t>Free cash flow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7"/>
              </w:rPr>
              <w:t>Operating cash flow − maintenance capex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7"/>
              </w:rPr>
              <w:t>Lagging</w:t>
            </w:r>
          </w:p>
        </w:tc>
        <w:tc>
          <w:tcPr>
            <w:tcW w:type="dxa" w:w="4867"/>
          </w:tcPr>
          <w:p>
            <w:pPr>
              <w:spacing w:after="20"/>
            </w:pPr>
            <w:r/>
            <w:r>
              <w:rPr>
                <w:sz w:val="17"/>
              </w:rPr>
              <w:t>Cash is Diamante’s binding constraint, because it is loss-making and facing a refinancing, so free cash flow is the measure that speaks to survival and cannot be flattered by accounting profit.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7"/>
              </w:rPr>
              <w:t>Customer / market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7"/>
              </w:rPr>
              <w:t>Realised US$ per carat vs the market index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7"/>
              </w:rPr>
              <w:t>Realised price ÷ the rough-diamond index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7"/>
              </w:rPr>
              <w:t>Lagging</w:t>
            </w:r>
          </w:p>
        </w:tc>
        <w:tc>
          <w:tcPr>
            <w:tcW w:type="dxa" w:w="4867"/>
          </w:tcPr>
          <w:p>
            <w:pPr>
              <w:spacing w:after="20"/>
            </w:pPr>
            <w:r/>
            <w:r>
              <w:rPr>
                <w:sz w:val="17"/>
              </w:rPr>
              <w:t>It shows whether Diamante sells at, above or below the market, and benchmarking against the index strips out the uncontrollable price, satisfying the controllability principle.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7"/>
              </w:rPr>
              <w:t>Internal process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7"/>
              </w:rPr>
              <w:t>Cost per carat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7"/>
              </w:rPr>
              <w:t>Operating cost ÷ carats produced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7"/>
              </w:rPr>
              <w:t>Lagging</w:t>
            </w:r>
          </w:p>
        </w:tc>
        <w:tc>
          <w:tcPr>
            <w:tcW w:type="dxa" w:w="4867"/>
          </w:tcPr>
          <w:p>
            <w:pPr>
              <w:spacing w:after="20"/>
            </w:pPr>
            <w:r/>
            <w:r>
              <w:rPr>
                <w:sz w:val="17"/>
              </w:rPr>
              <w:t>It is the industry’s core efficiency measure and directly targets the cost base causing the losses, and it is controllable, so it is the sharpest lever management has; pair it with safety so it is not gamed.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/>
            <w:r>
              <w:rPr>
                <w:sz w:val="17"/>
              </w:rPr>
              <w:t>Learning &amp; growth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7"/>
              </w:rPr>
              <w:t>Employee turnover &amp; skills retention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7"/>
              </w:rPr>
              <w:t>Leavers ÷ average headcount × 100; % critical roles filled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7"/>
              </w:rPr>
              <w:t>Leading</w:t>
            </w:r>
          </w:p>
        </w:tc>
        <w:tc>
          <w:tcPr>
            <w:tcW w:type="dxa" w:w="4867"/>
          </w:tcPr>
          <w:p>
            <w:pPr>
              <w:spacing w:after="20"/>
            </w:pPr>
            <w:r/>
            <w:r>
              <w:rPr>
                <w:sz w:val="17"/>
              </w:rPr>
              <w:t>A stable, skilled workforce is needed to run deep mines safely and productively, so it is a leading indicator that protects both safety and the turnaround.</w:t>
            </w:r>
          </w:p>
        </w:tc>
      </w:tr>
    </w:tbl>
    <w:p>
      <w:pPr>
        <w:pStyle w:val="ListBullet"/>
        <w:spacing w:after="60"/>
      </w:pPr>
      <w:r>
        <w:rPr>
          <w:sz w:val="20"/>
        </w:rPr>
        <w:t>Together these four cover value (cash), the market, operational efficiency, and the people who deliver it, which is exactly what a balanced scorecard is meant to do.</w:t>
      </w:r>
    </w:p>
    <w:p>
      <w:pPr>
        <w:pStyle w:val="ListBullet"/>
        <w:spacing w:after="60"/>
      </w:pPr>
      <w:r>
        <w:rPr>
          <w:sz w:val="20"/>
        </w:rPr>
        <w:t>Add the top ESG measure from the separate document if a fifth, sustainability, dimension is wanted.</w:t>
      </w:r>
    </w:p>
    <w:p>
      <w:pPr>
        <w:spacing w:after="80"/>
      </w:pPr>
      <w:r>
        <w:rPr>
          <w:i/>
          <w:sz w:val="17"/>
        </w:rPr>
        <w:t>The realised-price, cost-per-carat and turnover figures need production and workforce data Diamante does not disclose in the pre-release and that should be requested.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