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D6B"/>
          <w:sz w:val="28"/>
        </w:rPr>
        <w:t>Diamante Ltd — Diamond-Industry Key Performance Indicators: Framework, Application &amp; Gaps</w:t>
      </w:r>
    </w:p>
    <w:p>
      <w:pPr>
        <w:spacing w:after="80"/>
      </w:pPr>
      <w:r>
        <w:rPr>
          <w:b w:val="0"/>
          <w:i/>
          <w:sz w:val="18"/>
        </w:rPr>
        <w:t>This is the master performance-measurement note for Diamante. It sets out the KPIs expected of a diamond miner, applies them to Diamante using the pre-release financials (with the formula and the inputs shown before each is analysed), and analyses the standard industry KPIs that Diamante is missing. The detailed Document 5 critique and the Petra/Gem comparison are in the companion documents and are not repeated here. Amounts are in R millions unless stated.</w:t>
      </w:r>
    </w:p>
    <w:p>
      <w:pPr>
        <w:spacing w:before="180" w:after="40"/>
        <w:pBdr>
          <w:bottom w:val="single" w:sz="6" w:space="2" w:color="808080"/>
        </w:pBdr>
      </w:pPr>
      <w:r>
        <w:rPr>
          <w:b/>
          <w:color w:val="1F3D6B"/>
          <w:sz w:val="26"/>
        </w:rPr>
        <w:t>1. The KPI framework expected of a diamond miner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2160"/>
            <w:shd w:val="clear" w:fill="1f3d6b"/>
          </w:tcPr>
          <w:p>
            <w:r/>
            <w:r>
              <w:rPr>
                <w:b/>
                <w:color w:val="FFFFFF"/>
                <w:sz w:val="17"/>
              </w:rPr>
              <w:t>Category</w:t>
            </w:r>
          </w:p>
        </w:tc>
        <w:tc>
          <w:tcPr>
            <w:tcW w:type="dxa" w:w="3312"/>
            <w:shd w:val="clear" w:fill="1f3d6b"/>
          </w:tcPr>
          <w:p>
            <w:r/>
            <w:r>
              <w:rPr>
                <w:b/>
                <w:color w:val="FFFFFF"/>
                <w:sz w:val="17"/>
              </w:rPr>
              <w:t>What it captures</w:t>
            </w:r>
          </w:p>
        </w:tc>
        <w:tc>
          <w:tcPr>
            <w:tcW w:type="dxa" w:w="5040"/>
            <w:shd w:val="clear" w:fill="1f3d6b"/>
          </w:tcPr>
          <w:p>
            <w:r/>
            <w:r>
              <w:rPr>
                <w:b/>
                <w:color w:val="FFFFFF"/>
                <w:sz w:val="17"/>
              </w:rPr>
              <w:t>Typical measures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Production / operating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Volume and quality of what is mined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Carats recovered; tonnes treated; grade (carats per hundred tonnes); recovery/yield; waste stripping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Value / pricing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Value realised per unit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Realised US$ per carat; product mix; high-value stones as a % of production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Cost efficiency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Unit cost of production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On-mine cost per carat and per tonne; unit-cost trend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Profitability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Margins earned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Operating margin; EBITDA and EBITDA margin; net margin; return on assets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Cash &amp; balance sheet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Cash generation and financial strength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Free cash flow; net debt; net debt : EBITDA; gearing; interest cover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Working capital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Efficiency of working capital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Inventory, receivables and payables days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Safety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Harm to people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Lost-time injury frequency rate (LTIFR); total recordable injury frequency rate (TRIFR)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ESG / sustainability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Environmental and social outcomes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Scope 1 and 2 emissions vs roadmap; water; tailings; rehabilitation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Reserves / life-of-mine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Sustainability of the resource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Reserves and resources; life-of-mine; reserve replacement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Market &amp; shareholder returns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Value delivered to owners</w:t>
            </w:r>
          </w:p>
        </w:tc>
        <w:tc>
          <w:tcPr>
            <w:tcW w:type="dxa" w:w="5040"/>
          </w:tcPr>
          <w:p>
            <w:r/>
            <w:r>
              <w:rPr>
                <w:sz w:val="17"/>
              </w:rPr>
              <w:t>Revenue by market; earnings per share; total shareholder return; dividends</w:t>
            </w:r>
          </w:p>
        </w:tc>
      </w:tr>
    </w:tbl>
    <w:p>
      <w:pPr>
        <w:spacing w:before="180" w:after="40"/>
        <w:pBdr>
          <w:bottom w:val="single" w:sz="6" w:space="2" w:color="808080"/>
        </w:pBdr>
      </w:pPr>
      <w:r>
        <w:rPr>
          <w:b/>
          <w:color w:val="1F3D6B"/>
          <w:sz w:val="26"/>
        </w:rPr>
        <w:t>2. The KPIs applied to Diamante (formula, inputs, then analysis)</w:t>
      </w:r>
    </w:p>
    <w:p>
      <w:pPr>
        <w:spacing w:before="40" w:after="20"/>
      </w:pPr>
      <w:r>
        <w:rPr>
          <w:b/>
          <w:i/>
          <w:color w:val="555555"/>
          <w:sz w:val="18"/>
        </w:rPr>
        <w:t>Key inputs used (from the draft FY2026 pre-release, R millions)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2448"/>
            <w:shd w:val="clear" w:fill="4a5a72"/>
          </w:tcPr>
          <w:p>
            <w:r/>
            <w:r>
              <w:rPr>
                <w:b/>
                <w:color w:val="FFFFFF"/>
                <w:sz w:val="17"/>
              </w:rPr>
              <w:t>Input</w:t>
            </w:r>
          </w:p>
        </w:tc>
        <w:tc>
          <w:tcPr>
            <w:tcW w:type="dxa" w:w="864"/>
            <w:shd w:val="clear" w:fill="4a5a72"/>
          </w:tcPr>
          <w:p>
            <w:r/>
            <w:r>
              <w:rPr>
                <w:b/>
                <w:color w:val="FFFFFF"/>
                <w:sz w:val="17"/>
              </w:rPr>
              <w:t>2026</w:t>
            </w:r>
          </w:p>
        </w:tc>
        <w:tc>
          <w:tcPr>
            <w:tcW w:type="dxa" w:w="864"/>
            <w:shd w:val="clear" w:fill="4a5a72"/>
          </w:tcPr>
          <w:p>
            <w:r/>
            <w:r>
              <w:rPr>
                <w:b/>
                <w:color w:val="FFFFFF"/>
                <w:sz w:val="17"/>
              </w:rPr>
              <w:t>2025</w:t>
            </w:r>
          </w:p>
        </w:tc>
        <w:tc>
          <w:tcPr>
            <w:tcW w:type="dxa" w:w="2448"/>
            <w:shd w:val="clear" w:fill="4a5a72"/>
          </w:tcPr>
          <w:p>
            <w:r/>
            <w:r>
              <w:rPr>
                <w:b/>
                <w:color w:val="FFFFFF"/>
                <w:sz w:val="17"/>
              </w:rPr>
              <w:t>Input</w:t>
            </w:r>
          </w:p>
        </w:tc>
        <w:tc>
          <w:tcPr>
            <w:tcW w:type="dxa" w:w="864"/>
            <w:shd w:val="clear" w:fill="4a5a72"/>
          </w:tcPr>
          <w:p>
            <w:r/>
            <w:r>
              <w:rPr>
                <w:b/>
                <w:color w:val="FFFFFF"/>
                <w:sz w:val="17"/>
              </w:rPr>
              <w:t>2026</w:t>
            </w:r>
          </w:p>
        </w:tc>
        <w:tc>
          <w:tcPr>
            <w:tcW w:type="dxa" w:w="864"/>
            <w:shd w:val="clear" w:fill="4a5a72"/>
          </w:tcPr>
          <w:p>
            <w:r/>
            <w:r>
              <w:rPr>
                <w:b/>
                <w:color w:val="FFFFFF"/>
                <w:sz w:val="17"/>
              </w:rPr>
              <w:t>2025</w:t>
            </w:r>
          </w:p>
        </w:tc>
      </w:tr>
      <w:tr>
        <w:tc>
          <w:tcPr>
            <w:tcW w:type="dxa" w:w="2448"/>
            <w:shd w:val="clear" w:fill="f4f6fa"/>
          </w:tcPr>
          <w:p>
            <w:r/>
            <w:r>
              <w:rPr>
                <w:sz w:val="17"/>
              </w:rPr>
              <w:t>Revenue</w:t>
            </w:r>
          </w:p>
        </w:tc>
        <w:tc>
          <w:tcPr>
            <w:tcW w:type="dxa" w:w="864"/>
            <w:shd w:val="clear" w:fill="f4f6fa"/>
          </w:tcPr>
          <w:p>
            <w:r/>
            <w:r>
              <w:rPr>
                <w:sz w:val="17"/>
              </w:rPr>
              <w:t>1 863</w:t>
            </w:r>
          </w:p>
        </w:tc>
        <w:tc>
          <w:tcPr>
            <w:tcW w:type="dxa" w:w="864"/>
            <w:shd w:val="clear" w:fill="f4f6fa"/>
          </w:tcPr>
          <w:p>
            <w:r/>
            <w:r>
              <w:rPr>
                <w:sz w:val="17"/>
              </w:rPr>
              <w:t>2 790</w:t>
            </w:r>
          </w:p>
        </w:tc>
        <w:tc>
          <w:tcPr>
            <w:tcW w:type="dxa" w:w="2448"/>
            <w:shd w:val="clear" w:fill="f4f6fa"/>
          </w:tcPr>
          <w:p>
            <w:r/>
            <w:r>
              <w:rPr>
                <w:sz w:val="17"/>
              </w:rPr>
              <w:t>Total assets</w:t>
            </w:r>
          </w:p>
        </w:tc>
        <w:tc>
          <w:tcPr>
            <w:tcW w:type="dxa" w:w="864"/>
            <w:shd w:val="clear" w:fill="f4f6fa"/>
          </w:tcPr>
          <w:p>
            <w:r/>
            <w:r>
              <w:rPr>
                <w:sz w:val="17"/>
              </w:rPr>
              <w:t>4 851</w:t>
            </w:r>
          </w:p>
        </w:tc>
        <w:tc>
          <w:tcPr>
            <w:tcW w:type="dxa" w:w="864"/>
            <w:shd w:val="clear" w:fill="f4f6fa"/>
          </w:tcPr>
          <w:p>
            <w:r/>
            <w:r>
              <w:rPr>
                <w:sz w:val="17"/>
              </w:rPr>
              <w:t>6 804</w:t>
            </w:r>
          </w:p>
        </w:tc>
      </w:tr>
      <w:tr>
        <w:tc>
          <w:tcPr>
            <w:tcW w:type="dxa" w:w="2448"/>
            <w:shd w:val="clear" w:fill="f4f6fa"/>
          </w:tcPr>
          <w:p>
            <w:r/>
            <w:r>
              <w:rPr>
                <w:sz w:val="17"/>
              </w:rPr>
              <w:t>Mining costs</w:t>
            </w:r>
          </w:p>
        </w:tc>
        <w:tc>
          <w:tcPr>
            <w:tcW w:type="dxa" w:w="864"/>
            <w:shd w:val="clear" w:fill="f4f6fa"/>
          </w:tcPr>
          <w:p>
            <w:r/>
            <w:r>
              <w:rPr>
                <w:sz w:val="17"/>
              </w:rPr>
              <w:t>2 295</w:t>
            </w:r>
          </w:p>
        </w:tc>
        <w:tc>
          <w:tcPr>
            <w:tcW w:type="dxa" w:w="864"/>
            <w:shd w:val="clear" w:fill="f4f6fa"/>
          </w:tcPr>
          <w:p>
            <w:r/>
            <w:r>
              <w:rPr>
                <w:sz w:val="17"/>
              </w:rPr>
              <w:t>2 817</w:t>
            </w:r>
          </w:p>
        </w:tc>
        <w:tc>
          <w:tcPr>
            <w:tcW w:type="dxa" w:w="2448"/>
            <w:shd w:val="clear" w:fill="f4f6fa"/>
          </w:tcPr>
          <w:p>
            <w:r/>
            <w:r>
              <w:rPr>
                <w:sz w:val="17"/>
              </w:rPr>
              <w:t>Equity</w:t>
            </w:r>
          </w:p>
        </w:tc>
        <w:tc>
          <w:tcPr>
            <w:tcW w:type="dxa" w:w="864"/>
            <w:shd w:val="clear" w:fill="f4f6fa"/>
          </w:tcPr>
          <w:p>
            <w:r/>
            <w:r>
              <w:rPr>
                <w:sz w:val="17"/>
              </w:rPr>
              <w:t>891</w:t>
            </w:r>
          </w:p>
        </w:tc>
        <w:tc>
          <w:tcPr>
            <w:tcW w:type="dxa" w:w="864"/>
            <w:shd w:val="clear" w:fill="f4f6fa"/>
          </w:tcPr>
          <w:p>
            <w:r/>
            <w:r>
              <w:rPr>
                <w:sz w:val="17"/>
              </w:rPr>
              <w:t>1 917</w:t>
            </w:r>
          </w:p>
        </w:tc>
      </w:tr>
      <w:tr>
        <w:tc>
          <w:tcPr>
            <w:tcW w:type="dxa" w:w="2448"/>
            <w:shd w:val="clear" w:fill="f4f6fa"/>
          </w:tcPr>
          <w:p>
            <w:r/>
            <w:r>
              <w:rPr>
                <w:sz w:val="17"/>
              </w:rPr>
              <w:t>Operating loss</w:t>
            </w:r>
          </w:p>
        </w:tc>
        <w:tc>
          <w:tcPr>
            <w:tcW w:type="dxa" w:w="864"/>
            <w:shd w:val="clear" w:fill="f4f6fa"/>
          </w:tcPr>
          <w:p>
            <w:r/>
            <w:r>
              <w:rPr>
                <w:sz w:val="17"/>
              </w:rPr>
              <w:t>(1 638)</w:t>
            </w:r>
          </w:p>
        </w:tc>
        <w:tc>
          <w:tcPr>
            <w:tcW w:type="dxa" w:w="864"/>
            <w:shd w:val="clear" w:fill="f4f6fa"/>
          </w:tcPr>
          <w:p>
            <w:r/>
            <w:r>
              <w:rPr>
                <w:sz w:val="17"/>
              </w:rPr>
              <w:t>(864)</w:t>
            </w:r>
          </w:p>
        </w:tc>
        <w:tc>
          <w:tcPr>
            <w:tcW w:type="dxa" w:w="2448"/>
            <w:shd w:val="clear" w:fill="f4f6fa"/>
          </w:tcPr>
          <w:p>
            <w:r/>
            <w:r>
              <w:rPr>
                <w:sz w:val="17"/>
              </w:rPr>
              <w:t>Borrowings (total)</w:t>
            </w:r>
          </w:p>
        </w:tc>
        <w:tc>
          <w:tcPr>
            <w:tcW w:type="dxa" w:w="864"/>
            <w:shd w:val="clear" w:fill="f4f6fa"/>
          </w:tcPr>
          <w:p>
            <w:r/>
            <w:r>
              <w:rPr>
                <w:sz w:val="17"/>
              </w:rPr>
              <w:t>2 925</w:t>
            </w:r>
          </w:p>
        </w:tc>
        <w:tc>
          <w:tcPr>
            <w:tcW w:type="dxa" w:w="864"/>
            <w:shd w:val="clear" w:fill="f4f6fa"/>
          </w:tcPr>
          <w:p>
            <w:r/>
            <w:r>
              <w:rPr>
                <w:sz w:val="17"/>
              </w:rPr>
              <w:t>2 439</w:t>
            </w:r>
          </w:p>
        </w:tc>
      </w:tr>
      <w:tr>
        <w:tc>
          <w:tcPr>
            <w:tcW w:type="dxa" w:w="2448"/>
            <w:shd w:val="clear" w:fill="f4f6fa"/>
          </w:tcPr>
          <w:p>
            <w:r/>
            <w:r>
              <w:rPr>
                <w:sz w:val="17"/>
              </w:rPr>
              <w:t>Impairments (total)</w:t>
            </w:r>
          </w:p>
        </w:tc>
        <w:tc>
          <w:tcPr>
            <w:tcW w:type="dxa" w:w="864"/>
            <w:shd w:val="clear" w:fill="f4f6fa"/>
          </w:tcPr>
          <w:p>
            <w:r/>
            <w:r>
              <w:rPr>
                <w:sz w:val="17"/>
              </w:rPr>
              <w:t>1 170</w:t>
            </w:r>
          </w:p>
        </w:tc>
        <w:tc>
          <w:tcPr>
            <w:tcW w:type="dxa" w:w="864"/>
            <w:shd w:val="clear" w:fill="f4f6fa"/>
          </w:tcPr>
          <w:p>
            <w:r/>
            <w:r>
              <w:rPr>
                <w:sz w:val="17"/>
              </w:rPr>
              <w:t>729</w:t>
            </w:r>
          </w:p>
        </w:tc>
        <w:tc>
          <w:tcPr>
            <w:tcW w:type="dxa" w:w="2448"/>
            <w:shd w:val="clear" w:fill="f4f6fa"/>
          </w:tcPr>
          <w:p>
            <w:r/>
            <w:r>
              <w:rPr>
                <w:sz w:val="17"/>
              </w:rPr>
              <w:t>Cash</w:t>
            </w:r>
          </w:p>
        </w:tc>
        <w:tc>
          <w:tcPr>
            <w:tcW w:type="dxa" w:w="864"/>
            <w:shd w:val="clear" w:fill="f4f6fa"/>
          </w:tcPr>
          <w:p>
            <w:r/>
            <w:r>
              <w:rPr>
                <w:sz w:val="17"/>
              </w:rPr>
              <w:t>333</w:t>
            </w:r>
          </w:p>
        </w:tc>
        <w:tc>
          <w:tcPr>
            <w:tcW w:type="dxa" w:w="864"/>
            <w:shd w:val="clear" w:fill="f4f6fa"/>
          </w:tcPr>
          <w:p>
            <w:r/>
            <w:r>
              <w:rPr>
                <w:sz w:val="17"/>
              </w:rPr>
              <w:t>261</w:t>
            </w:r>
          </w:p>
        </w:tc>
      </w:tr>
      <w:tr>
        <w:tc>
          <w:tcPr>
            <w:tcW w:type="dxa" w:w="2448"/>
            <w:shd w:val="clear" w:fill="f4f6fa"/>
          </w:tcPr>
          <w:p>
            <w:r/>
            <w:r>
              <w:rPr>
                <w:sz w:val="17"/>
              </w:rPr>
              <w:t>Depreciation (mining)</w:t>
            </w:r>
          </w:p>
        </w:tc>
        <w:tc>
          <w:tcPr>
            <w:tcW w:type="dxa" w:w="864"/>
            <w:shd w:val="clear" w:fill="f4f6fa"/>
          </w:tcPr>
          <w:p>
            <w:r/>
            <w:r>
              <w:rPr>
                <w:sz w:val="17"/>
              </w:rPr>
              <w:t>675</w:t>
            </w:r>
          </w:p>
        </w:tc>
        <w:tc>
          <w:tcPr>
            <w:tcW w:type="dxa" w:w="864"/>
            <w:shd w:val="clear" w:fill="f4f6fa"/>
          </w:tcPr>
          <w:p>
            <w:r/>
            <w:r>
              <w:rPr>
                <w:sz w:val="17"/>
              </w:rPr>
              <w:t>675</w:t>
            </w:r>
          </w:p>
        </w:tc>
        <w:tc>
          <w:tcPr>
            <w:tcW w:type="dxa" w:w="2448"/>
            <w:shd w:val="clear" w:fill="f4f6fa"/>
          </w:tcPr>
          <w:p>
            <w:r/>
            <w:r>
              <w:rPr>
                <w:sz w:val="17"/>
              </w:rPr>
              <w:t>Current assets</w:t>
            </w:r>
          </w:p>
        </w:tc>
        <w:tc>
          <w:tcPr>
            <w:tcW w:type="dxa" w:w="864"/>
            <w:shd w:val="clear" w:fill="f4f6fa"/>
          </w:tcPr>
          <w:p>
            <w:r/>
            <w:r>
              <w:rPr>
                <w:sz w:val="17"/>
              </w:rPr>
              <w:t>1 017</w:t>
            </w:r>
          </w:p>
        </w:tc>
        <w:tc>
          <w:tcPr>
            <w:tcW w:type="dxa" w:w="864"/>
            <w:shd w:val="clear" w:fill="f4f6fa"/>
          </w:tcPr>
          <w:p>
            <w:r/>
            <w:r>
              <w:rPr>
                <w:sz w:val="17"/>
              </w:rPr>
              <w:t>1 350</w:t>
            </w:r>
          </w:p>
        </w:tc>
      </w:tr>
      <w:tr>
        <w:tc>
          <w:tcPr>
            <w:tcW w:type="dxa" w:w="2448"/>
            <w:shd w:val="clear" w:fill="f4f6fa"/>
          </w:tcPr>
          <w:p>
            <w:r/>
            <w:r>
              <w:rPr>
                <w:sz w:val="17"/>
              </w:rPr>
              <w:t>Loss for the year</w:t>
            </w:r>
          </w:p>
        </w:tc>
        <w:tc>
          <w:tcPr>
            <w:tcW w:type="dxa" w:w="864"/>
            <w:shd w:val="clear" w:fill="f4f6fa"/>
          </w:tcPr>
          <w:p>
            <w:r/>
            <w:r>
              <w:rPr>
                <w:sz w:val="17"/>
              </w:rPr>
              <w:t>(1 044)</w:t>
            </w:r>
          </w:p>
        </w:tc>
        <w:tc>
          <w:tcPr>
            <w:tcW w:type="dxa" w:w="864"/>
            <w:shd w:val="clear" w:fill="f4f6fa"/>
          </w:tcPr>
          <w:p>
            <w:r/>
            <w:r>
              <w:rPr>
                <w:sz w:val="17"/>
              </w:rPr>
              <w:t>(963)</w:t>
            </w:r>
          </w:p>
        </w:tc>
        <w:tc>
          <w:tcPr>
            <w:tcW w:type="dxa" w:w="2448"/>
            <w:shd w:val="clear" w:fill="f4f6fa"/>
          </w:tcPr>
          <w:p>
            <w:r/>
            <w:r>
              <w:rPr>
                <w:sz w:val="17"/>
              </w:rPr>
              <w:t>Current liabilities</w:t>
            </w:r>
          </w:p>
        </w:tc>
        <w:tc>
          <w:tcPr>
            <w:tcW w:type="dxa" w:w="864"/>
            <w:shd w:val="clear" w:fill="f4f6fa"/>
          </w:tcPr>
          <w:p>
            <w:r/>
            <w:r>
              <w:rPr>
                <w:sz w:val="17"/>
              </w:rPr>
              <w:t>3 357</w:t>
            </w:r>
          </w:p>
        </w:tc>
        <w:tc>
          <w:tcPr>
            <w:tcW w:type="dxa" w:w="864"/>
            <w:shd w:val="clear" w:fill="f4f6fa"/>
          </w:tcPr>
          <w:p>
            <w:r/>
            <w:r>
              <w:rPr>
                <w:sz w:val="17"/>
              </w:rPr>
              <w:t>1 206</w:t>
            </w:r>
          </w:p>
        </w:tc>
      </w:tr>
      <w:tr>
        <w:tc>
          <w:tcPr>
            <w:tcW w:type="dxa" w:w="2448"/>
            <w:shd w:val="clear" w:fill="f4f6fa"/>
          </w:tcPr>
          <w:p>
            <w:r/>
            <w:r>
              <w:rPr>
                <w:sz w:val="17"/>
              </w:rPr>
              <w:t>Inventory</w:t>
            </w:r>
          </w:p>
        </w:tc>
        <w:tc>
          <w:tcPr>
            <w:tcW w:type="dxa" w:w="864"/>
            <w:shd w:val="clear" w:fill="f4f6fa"/>
          </w:tcPr>
          <w:p>
            <w:r/>
            <w:r>
              <w:rPr>
                <w:sz w:val="17"/>
              </w:rPr>
              <w:t>315</w:t>
            </w:r>
          </w:p>
        </w:tc>
        <w:tc>
          <w:tcPr>
            <w:tcW w:type="dxa" w:w="864"/>
            <w:shd w:val="clear" w:fill="f4f6fa"/>
          </w:tcPr>
          <w:p>
            <w:r/>
            <w:r>
              <w:rPr>
                <w:sz w:val="17"/>
              </w:rPr>
              <w:t>459</w:t>
            </w:r>
          </w:p>
        </w:tc>
        <w:tc>
          <w:tcPr>
            <w:tcW w:type="dxa" w:w="2448"/>
            <w:shd w:val="clear" w:fill="f4f6fa"/>
          </w:tcPr>
          <w:p>
            <w:r/>
            <w:r>
              <w:rPr>
                <w:sz w:val="17"/>
              </w:rPr>
              <w:t>Trade receivables</w:t>
            </w:r>
          </w:p>
        </w:tc>
        <w:tc>
          <w:tcPr>
            <w:tcW w:type="dxa" w:w="864"/>
            <w:shd w:val="clear" w:fill="f4f6fa"/>
          </w:tcPr>
          <w:p>
            <w:r/>
            <w:r>
              <w:rPr>
                <w:sz w:val="17"/>
              </w:rPr>
              <w:t>198</w:t>
            </w:r>
          </w:p>
        </w:tc>
        <w:tc>
          <w:tcPr>
            <w:tcW w:type="dxa" w:w="864"/>
            <w:shd w:val="clear" w:fill="f4f6fa"/>
          </w:tcPr>
          <w:p>
            <w:r/>
            <w:r>
              <w:rPr>
                <w:sz w:val="17"/>
              </w:rPr>
              <w:t>477</w:t>
            </w:r>
          </w:p>
        </w:tc>
      </w:tr>
      <w:tr>
        <w:tc>
          <w:tcPr>
            <w:tcW w:type="dxa" w:w="2448"/>
            <w:shd w:val="clear" w:fill="f4f6fa"/>
          </w:tcPr>
          <w:p>
            <w:r/>
            <w:r>
              <w:rPr>
                <w:sz w:val="17"/>
              </w:rPr>
              <w:t>Trade payables</w:t>
            </w:r>
          </w:p>
        </w:tc>
        <w:tc>
          <w:tcPr>
            <w:tcW w:type="dxa" w:w="864"/>
            <w:shd w:val="clear" w:fill="f4f6fa"/>
          </w:tcPr>
          <w:p>
            <w:r/>
            <w:r>
              <w:rPr>
                <w:sz w:val="17"/>
              </w:rPr>
              <w:t>297</w:t>
            </w:r>
          </w:p>
        </w:tc>
        <w:tc>
          <w:tcPr>
            <w:tcW w:type="dxa" w:w="864"/>
            <w:shd w:val="clear" w:fill="f4f6fa"/>
          </w:tcPr>
          <w:p>
            <w:r/>
            <w:r>
              <w:rPr>
                <w:sz w:val="17"/>
              </w:rPr>
              <w:t>702</w:t>
            </w:r>
          </w:p>
        </w:tc>
        <w:tc>
          <w:tcPr>
            <w:tcW w:type="dxa" w:w="2448"/>
            <w:shd w:val="clear" w:fill="f4f6fa"/>
          </w:tcPr>
          <w:p>
            <w:r/>
            <w:r>
              <w:rPr>
                <w:sz w:val="17"/>
              </w:rPr>
              <w:t>Finance expense</w:t>
            </w:r>
          </w:p>
        </w:tc>
        <w:tc>
          <w:tcPr>
            <w:tcW w:type="dxa" w:w="864"/>
            <w:shd w:val="clear" w:fill="f4f6fa"/>
          </w:tcPr>
          <w:p>
            <w:r/>
            <w:r>
              <w:rPr>
                <w:sz w:val="17"/>
              </w:rPr>
              <w:t>378</w:t>
            </w:r>
          </w:p>
        </w:tc>
        <w:tc>
          <w:tcPr>
            <w:tcW w:type="dxa" w:w="864"/>
            <w:shd w:val="clear" w:fill="f4f6fa"/>
          </w:tcPr>
          <w:p>
            <w:r/>
            <w:r>
              <w:rPr>
                <w:sz w:val="17"/>
              </w:rPr>
              <w:t>360</w:t>
            </w:r>
          </w:p>
        </w:tc>
      </w:tr>
    </w:tbl>
    <w:p>
      <w:pPr>
        <w:spacing w:before="120" w:after="20"/>
      </w:pPr>
      <w:r>
        <w:rPr>
          <w:b/>
          <w:color w:val="1F3D6B"/>
          <w:sz w:val="22"/>
        </w:rPr>
        <w:t>2.1 Profitability</w:t>
      </w:r>
    </w:p>
    <w:p>
      <w:pPr>
        <w:spacing w:before="40" w:after="20"/>
      </w:pPr>
      <w:r>
        <w:rPr>
          <w:b/>
          <w:i/>
          <w:color w:val="555555"/>
          <w:sz w:val="18"/>
        </w:rPr>
        <w:t>Formula and inputs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304"/>
            <w:shd w:val="clear" w:fill="4a5a72"/>
          </w:tcPr>
          <w:p>
            <w:r/>
            <w:r>
              <w:rPr>
                <w:b/>
                <w:color w:val="FFFFFF"/>
                <w:sz w:val="17"/>
              </w:rPr>
              <w:t>KPI</w:t>
            </w:r>
          </w:p>
        </w:tc>
        <w:tc>
          <w:tcPr>
            <w:tcW w:type="dxa" w:w="2880"/>
            <w:shd w:val="clear" w:fill="4a5a72"/>
          </w:tcPr>
          <w:p>
            <w:r/>
            <w:r>
              <w:rPr>
                <w:b/>
                <w:color w:val="FFFFFF"/>
                <w:sz w:val="17"/>
              </w:rPr>
              <w:t>Formula</w:t>
            </w:r>
          </w:p>
        </w:tc>
        <w:tc>
          <w:tcPr>
            <w:tcW w:type="dxa" w:w="2592"/>
            <w:shd w:val="clear" w:fill="4a5a72"/>
          </w:tcPr>
          <w:p>
            <w:r/>
            <w:r>
              <w:rPr>
                <w:b/>
                <w:color w:val="FFFFFF"/>
                <w:sz w:val="17"/>
              </w:rPr>
              <w:t>2026: inputs → result</w:t>
            </w:r>
          </w:p>
        </w:tc>
        <w:tc>
          <w:tcPr>
            <w:tcW w:type="dxa" w:w="2592"/>
            <w:shd w:val="clear" w:fill="4a5a72"/>
          </w:tcPr>
          <w:p>
            <w:r/>
            <w:r>
              <w:rPr>
                <w:b/>
                <w:color w:val="FFFFFF"/>
                <w:sz w:val="17"/>
              </w:rPr>
              <w:t>2025: inputs → result</w:t>
            </w:r>
          </w:p>
        </w:tc>
      </w:tr>
      <w:tr>
        <w:tc>
          <w:tcPr>
            <w:tcW w:type="dxa" w:w="2304"/>
            <w:shd w:val="clear" w:fill="f4f6fa"/>
          </w:tcPr>
          <w:p>
            <w:r/>
            <w:r>
              <w:rPr>
                <w:sz w:val="17"/>
              </w:rPr>
              <w:t>Operating margin</w:t>
            </w:r>
          </w:p>
        </w:tc>
        <w:tc>
          <w:tcPr>
            <w:tcW w:type="dxa" w:w="2880"/>
            <w:shd w:val="clear" w:fill="f4f6fa"/>
          </w:tcPr>
          <w:p>
            <w:r/>
            <w:r>
              <w:rPr>
                <w:sz w:val="17"/>
              </w:rPr>
              <w:t>Operating loss ÷ revenue</w:t>
            </w:r>
          </w:p>
        </w:tc>
        <w:tc>
          <w:tcPr>
            <w:tcW w:type="dxa" w:w="2592"/>
            <w:shd w:val="clear" w:fill="f4f6fa"/>
          </w:tcPr>
          <w:p>
            <w:r/>
            <w:r>
              <w:rPr>
                <w:sz w:val="17"/>
              </w:rPr>
              <w:t>(1 638) ÷ 1 863 = (87.9%)</w:t>
            </w:r>
          </w:p>
        </w:tc>
        <w:tc>
          <w:tcPr>
            <w:tcW w:type="dxa" w:w="2592"/>
            <w:shd w:val="clear" w:fill="f4f6fa"/>
          </w:tcPr>
          <w:p>
            <w:r/>
            <w:r>
              <w:rPr>
                <w:sz w:val="17"/>
              </w:rPr>
              <w:t>(864) ÷ 2 790 = (31.0%)</w:t>
            </w:r>
          </w:p>
        </w:tc>
      </w:tr>
      <w:tr>
        <w:tc>
          <w:tcPr>
            <w:tcW w:type="dxa" w:w="2304"/>
            <w:shd w:val="clear" w:fill="f4f6fa"/>
          </w:tcPr>
          <w:p>
            <w:r/>
            <w:r>
              <w:rPr>
                <w:sz w:val="17"/>
              </w:rPr>
              <w:t>Operating margin excl. impairments</w:t>
            </w:r>
          </w:p>
        </w:tc>
        <w:tc>
          <w:tcPr>
            <w:tcW w:type="dxa" w:w="2880"/>
            <w:shd w:val="clear" w:fill="f4f6fa"/>
          </w:tcPr>
          <w:p>
            <w:r/>
            <w:r>
              <w:rPr>
                <w:sz w:val="17"/>
              </w:rPr>
              <w:t>(Op loss + impairments) ÷ revenue</w:t>
            </w:r>
          </w:p>
        </w:tc>
        <w:tc>
          <w:tcPr>
            <w:tcW w:type="dxa" w:w="2592"/>
            <w:shd w:val="clear" w:fill="f4f6fa"/>
          </w:tcPr>
          <w:p>
            <w:r/>
            <w:r>
              <w:rPr>
                <w:sz w:val="17"/>
              </w:rPr>
              <w:t>(1 638 + 1 170) ÷ 1 863 = (25.1%)</w:t>
            </w:r>
          </w:p>
        </w:tc>
        <w:tc>
          <w:tcPr>
            <w:tcW w:type="dxa" w:w="2592"/>
            <w:shd w:val="clear" w:fill="f4f6fa"/>
          </w:tcPr>
          <w:p>
            <w:r/>
            <w:r>
              <w:rPr>
                <w:sz w:val="17"/>
              </w:rPr>
              <w:t>(864 + 729) ÷ 2 790 = (4.8%)</w:t>
            </w:r>
          </w:p>
        </w:tc>
      </w:tr>
      <w:tr>
        <w:tc>
          <w:tcPr>
            <w:tcW w:type="dxa" w:w="2304"/>
            <w:shd w:val="clear" w:fill="f4f6fa"/>
          </w:tcPr>
          <w:p>
            <w:r/>
            <w:r>
              <w:rPr>
                <w:sz w:val="17"/>
              </w:rPr>
              <w:t>Adjusted EBITDA</w:t>
            </w:r>
          </w:p>
        </w:tc>
        <w:tc>
          <w:tcPr>
            <w:tcW w:type="dxa" w:w="2880"/>
            <w:shd w:val="clear" w:fill="f4f6fa"/>
          </w:tcPr>
          <w:p>
            <w:r/>
            <w:r>
              <w:rPr>
                <w:sz w:val="17"/>
              </w:rPr>
              <w:t>Op loss + depreciation + impairments</w:t>
            </w:r>
          </w:p>
        </w:tc>
        <w:tc>
          <w:tcPr>
            <w:tcW w:type="dxa" w:w="2592"/>
            <w:shd w:val="clear" w:fill="f4f6fa"/>
          </w:tcPr>
          <w:p>
            <w:r/>
            <w:r>
              <w:rPr>
                <w:sz w:val="17"/>
              </w:rPr>
              <w:t>(1 638) + 675 + 1 170 = 207</w:t>
            </w:r>
          </w:p>
        </w:tc>
        <w:tc>
          <w:tcPr>
            <w:tcW w:type="dxa" w:w="2592"/>
            <w:shd w:val="clear" w:fill="f4f6fa"/>
          </w:tcPr>
          <w:p>
            <w:r/>
            <w:r>
              <w:rPr>
                <w:sz w:val="17"/>
              </w:rPr>
              <w:t>(864) + 675 + 729 = 540</w:t>
            </w:r>
          </w:p>
        </w:tc>
      </w:tr>
      <w:tr>
        <w:tc>
          <w:tcPr>
            <w:tcW w:type="dxa" w:w="2304"/>
            <w:shd w:val="clear" w:fill="f4f6fa"/>
          </w:tcPr>
          <w:p>
            <w:r/>
            <w:r>
              <w:rPr>
                <w:sz w:val="17"/>
              </w:rPr>
              <w:t>EBITDA margin</w:t>
            </w:r>
          </w:p>
        </w:tc>
        <w:tc>
          <w:tcPr>
            <w:tcW w:type="dxa" w:w="2880"/>
            <w:shd w:val="clear" w:fill="f4f6fa"/>
          </w:tcPr>
          <w:p>
            <w:r/>
            <w:r>
              <w:rPr>
                <w:sz w:val="17"/>
              </w:rPr>
              <w:t>Adjusted EBITDA ÷ revenue</w:t>
            </w:r>
          </w:p>
        </w:tc>
        <w:tc>
          <w:tcPr>
            <w:tcW w:type="dxa" w:w="2592"/>
            <w:shd w:val="clear" w:fill="f4f6fa"/>
          </w:tcPr>
          <w:p>
            <w:r/>
            <w:r>
              <w:rPr>
                <w:sz w:val="17"/>
              </w:rPr>
              <w:t>207 ÷ 1 863 = 11.1%</w:t>
            </w:r>
          </w:p>
        </w:tc>
        <w:tc>
          <w:tcPr>
            <w:tcW w:type="dxa" w:w="2592"/>
            <w:shd w:val="clear" w:fill="f4f6fa"/>
          </w:tcPr>
          <w:p>
            <w:r/>
            <w:r>
              <w:rPr>
                <w:sz w:val="17"/>
              </w:rPr>
              <w:t>540 ÷ 2 790 = 19.4%</w:t>
            </w:r>
          </w:p>
        </w:tc>
      </w:tr>
      <w:tr>
        <w:tc>
          <w:tcPr>
            <w:tcW w:type="dxa" w:w="2304"/>
            <w:shd w:val="clear" w:fill="f4f6fa"/>
          </w:tcPr>
          <w:p>
            <w:r/>
            <w:r>
              <w:rPr>
                <w:sz w:val="17"/>
              </w:rPr>
              <w:t>Net margin</w:t>
            </w:r>
          </w:p>
        </w:tc>
        <w:tc>
          <w:tcPr>
            <w:tcW w:type="dxa" w:w="2880"/>
            <w:shd w:val="clear" w:fill="f4f6fa"/>
          </w:tcPr>
          <w:p>
            <w:r/>
            <w:r>
              <w:rPr>
                <w:sz w:val="17"/>
              </w:rPr>
              <w:t>Loss for year ÷ revenue</w:t>
            </w:r>
          </w:p>
        </w:tc>
        <w:tc>
          <w:tcPr>
            <w:tcW w:type="dxa" w:w="2592"/>
            <w:shd w:val="clear" w:fill="f4f6fa"/>
          </w:tcPr>
          <w:p>
            <w:r/>
            <w:r>
              <w:rPr>
                <w:sz w:val="17"/>
              </w:rPr>
              <w:t>(1 044) ÷ 1 863 = (56.0%)</w:t>
            </w:r>
          </w:p>
        </w:tc>
        <w:tc>
          <w:tcPr>
            <w:tcW w:type="dxa" w:w="2592"/>
            <w:shd w:val="clear" w:fill="f4f6fa"/>
          </w:tcPr>
          <w:p>
            <w:r/>
            <w:r>
              <w:rPr>
                <w:sz w:val="17"/>
              </w:rPr>
              <w:t>(963) ÷ 2 790 = (34.5%)</w:t>
            </w:r>
          </w:p>
        </w:tc>
      </w:tr>
      <w:tr>
        <w:tc>
          <w:tcPr>
            <w:tcW w:type="dxa" w:w="2304"/>
            <w:shd w:val="clear" w:fill="f4f6fa"/>
          </w:tcPr>
          <w:p>
            <w:r/>
            <w:r>
              <w:rPr>
                <w:sz w:val="17"/>
              </w:rPr>
              <w:t>Return on assets</w:t>
            </w:r>
          </w:p>
        </w:tc>
        <w:tc>
          <w:tcPr>
            <w:tcW w:type="dxa" w:w="2880"/>
            <w:shd w:val="clear" w:fill="f4f6fa"/>
          </w:tcPr>
          <w:p>
            <w:r/>
            <w:r>
              <w:rPr>
                <w:sz w:val="17"/>
              </w:rPr>
              <w:t>Loss for year ÷ total assets</w:t>
            </w:r>
          </w:p>
        </w:tc>
        <w:tc>
          <w:tcPr>
            <w:tcW w:type="dxa" w:w="2592"/>
            <w:shd w:val="clear" w:fill="f4f6fa"/>
          </w:tcPr>
          <w:p>
            <w:r/>
            <w:r>
              <w:rPr>
                <w:sz w:val="17"/>
              </w:rPr>
              <w:t>(1 044) ÷ 4 851 = (21.5%)</w:t>
            </w:r>
          </w:p>
        </w:tc>
        <w:tc>
          <w:tcPr>
            <w:tcW w:type="dxa" w:w="2592"/>
            <w:shd w:val="clear" w:fill="f4f6fa"/>
          </w:tcPr>
          <w:p>
            <w:r/>
            <w:r>
              <w:rPr>
                <w:sz w:val="17"/>
              </w:rPr>
              <w:t>(963) ÷ 6 804 = (14.2%)</w:t>
            </w:r>
          </w:p>
        </w:tc>
      </w:tr>
    </w:tbl>
    <w:p>
      <w:pPr>
        <w:spacing w:before="40" w:after="20"/>
      </w:pPr>
      <w:r>
        <w:rPr>
          <w:b/>
          <w:i/>
          <w:color w:val="555555"/>
          <w:sz w:val="18"/>
        </w:rPr>
        <w:t>Analysis</w:t>
      </w:r>
    </w:p>
    <w:p>
      <w:pPr>
        <w:pStyle w:val="ListBullet"/>
        <w:spacing w:after="60"/>
      </w:pPr>
      <w:r>
        <w:rPr>
          <w:sz w:val="20"/>
        </w:rPr>
        <w:t>The mines are loss-making at every level, and the operating margin has worsened from (31.0%) to (87.9%).</w:t>
      </w:r>
    </w:p>
    <w:p>
      <w:pPr>
        <w:pStyle w:val="ListBullet"/>
        <w:spacing w:after="60"/>
      </w:pPr>
      <w:r>
        <w:rPr>
          <w:sz w:val="20"/>
        </w:rPr>
        <w:t>Even after removing the impairments, the operating margin is still (25.1%), which shows that the core mining loses money before any write-down.</w:t>
      </w:r>
    </w:p>
    <w:p>
      <w:pPr>
        <w:pStyle w:val="ListBullet"/>
        <w:spacing w:after="60"/>
      </w:pPr>
      <w:r>
        <w:rPr>
          <w:sz w:val="20"/>
        </w:rPr>
        <w:t>Adjusted EBITDA is still positive at R207m, but it has more than halved from R540m, so the underlying cash earnings are shrinking fast.</w:t>
      </w:r>
    </w:p>
    <w:p>
      <w:pPr>
        <w:spacing w:before="120" w:after="20"/>
      </w:pPr>
      <w:r>
        <w:rPr>
          <w:b/>
          <w:color w:val="1F3D6B"/>
          <w:sz w:val="22"/>
        </w:rPr>
        <w:t>2.2 Cost efficiency</w:t>
      </w:r>
    </w:p>
    <w:p>
      <w:pPr>
        <w:spacing w:before="40" w:after="20"/>
      </w:pPr>
      <w:r>
        <w:rPr>
          <w:b/>
          <w:i/>
          <w:color w:val="555555"/>
          <w:sz w:val="18"/>
        </w:rPr>
        <w:t>Formula and inputs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160"/>
            <w:shd w:val="clear" w:fill="4a5a72"/>
          </w:tcPr>
          <w:p>
            <w:r/>
            <w:r>
              <w:rPr>
                <w:b/>
                <w:color w:val="FFFFFF"/>
                <w:sz w:val="17"/>
              </w:rPr>
              <w:t>KPI</w:t>
            </w:r>
          </w:p>
        </w:tc>
        <w:tc>
          <w:tcPr>
            <w:tcW w:type="dxa" w:w="3024"/>
            <w:shd w:val="clear" w:fill="4a5a72"/>
          </w:tcPr>
          <w:p>
            <w:r/>
            <w:r>
              <w:rPr>
                <w:b/>
                <w:color w:val="FFFFFF"/>
                <w:sz w:val="17"/>
              </w:rPr>
              <w:t>Formula</w:t>
            </w:r>
          </w:p>
        </w:tc>
        <w:tc>
          <w:tcPr>
            <w:tcW w:type="dxa" w:w="2592"/>
            <w:shd w:val="clear" w:fill="4a5a72"/>
          </w:tcPr>
          <w:p>
            <w:r/>
            <w:r>
              <w:rPr>
                <w:b/>
                <w:color w:val="FFFFFF"/>
                <w:sz w:val="17"/>
              </w:rPr>
              <w:t>2026: inputs → result</w:t>
            </w:r>
          </w:p>
        </w:tc>
        <w:tc>
          <w:tcPr>
            <w:tcW w:type="dxa" w:w="2592"/>
            <w:shd w:val="clear" w:fill="4a5a72"/>
          </w:tcPr>
          <w:p>
            <w:r/>
            <w:r>
              <w:rPr>
                <w:b/>
                <w:color w:val="FFFFFF"/>
                <w:sz w:val="17"/>
              </w:rPr>
              <w:t>2025: inputs → result</w:t>
            </w:r>
          </w:p>
        </w:tc>
      </w:tr>
      <w:tr>
        <w:tc>
          <w:tcPr>
            <w:tcW w:type="dxa" w:w="2160"/>
            <w:shd w:val="clear" w:fill="f4f6fa"/>
          </w:tcPr>
          <w:p>
            <w:r/>
            <w:r>
              <w:rPr>
                <w:sz w:val="17"/>
              </w:rPr>
              <w:t>Cost per carat</w:t>
            </w:r>
          </w:p>
        </w:tc>
        <w:tc>
          <w:tcPr>
            <w:tcW w:type="dxa" w:w="3024"/>
            <w:shd w:val="clear" w:fill="f4f6fa"/>
          </w:tcPr>
          <w:p>
            <w:r/>
            <w:r>
              <w:rPr>
                <w:sz w:val="17"/>
              </w:rPr>
              <w:t>Mining costs ÷ carats recovered</w:t>
            </w:r>
          </w:p>
        </w:tc>
        <w:tc>
          <w:tcPr>
            <w:tcW w:type="dxa" w:w="2592"/>
            <w:shd w:val="clear" w:fill="f4f6fa"/>
          </w:tcPr>
          <w:p>
            <w:r/>
            <w:r>
              <w:rPr>
                <w:sz w:val="17"/>
              </w:rPr>
              <w:t>Cannot compute — carats not disclosed</w:t>
            </w:r>
          </w:p>
        </w:tc>
        <w:tc>
          <w:tcPr>
            <w:tcW w:type="dxa" w:w="2592"/>
            <w:shd w:val="clear" w:fill="f4f6fa"/>
          </w:tcPr>
          <w:p>
            <w:r/>
            <w:r>
              <w:rPr>
                <w:sz w:val="17"/>
              </w:rPr>
              <w:t>Cannot compute</w:t>
            </w:r>
          </w:p>
        </w:tc>
      </w:tr>
      <w:tr>
        <w:tc>
          <w:tcPr>
            <w:tcW w:type="dxa" w:w="2160"/>
            <w:shd w:val="clear" w:fill="f4f6fa"/>
          </w:tcPr>
          <w:p>
            <w:r/>
            <w:r>
              <w:rPr>
                <w:sz w:val="17"/>
              </w:rPr>
              <w:t>Mining cost : revenue</w:t>
            </w:r>
          </w:p>
        </w:tc>
        <w:tc>
          <w:tcPr>
            <w:tcW w:type="dxa" w:w="3024"/>
            <w:shd w:val="clear" w:fill="f4f6fa"/>
          </w:tcPr>
          <w:p>
            <w:r/>
            <w:r>
              <w:rPr>
                <w:sz w:val="17"/>
              </w:rPr>
              <w:t>Mining costs ÷ revenue</w:t>
            </w:r>
          </w:p>
        </w:tc>
        <w:tc>
          <w:tcPr>
            <w:tcW w:type="dxa" w:w="2592"/>
            <w:shd w:val="clear" w:fill="f4f6fa"/>
          </w:tcPr>
          <w:p>
            <w:r/>
            <w:r>
              <w:rPr>
                <w:sz w:val="17"/>
              </w:rPr>
              <w:t>2 295 ÷ 1 863 = 123%</w:t>
            </w:r>
          </w:p>
        </w:tc>
        <w:tc>
          <w:tcPr>
            <w:tcW w:type="dxa" w:w="2592"/>
            <w:shd w:val="clear" w:fill="f4f6fa"/>
          </w:tcPr>
          <w:p>
            <w:r/>
            <w:r>
              <w:rPr>
                <w:sz w:val="17"/>
              </w:rPr>
              <w:t>2 817 ÷ 2 790 = 101%</w:t>
            </w:r>
          </w:p>
        </w:tc>
      </w:tr>
      <w:tr>
        <w:tc>
          <w:tcPr>
            <w:tcW w:type="dxa" w:w="2160"/>
            <w:shd w:val="clear" w:fill="f4f6fa"/>
          </w:tcPr>
          <w:p>
            <w:r/>
            <w:r>
              <w:rPr>
                <w:sz w:val="17"/>
              </w:rPr>
              <w:t>Mining cost change</w:t>
            </w:r>
          </w:p>
        </w:tc>
        <w:tc>
          <w:tcPr>
            <w:tcW w:type="dxa" w:w="3024"/>
            <w:shd w:val="clear" w:fill="f4f6fa"/>
          </w:tcPr>
          <w:p>
            <w:r/>
            <w:r>
              <w:rPr>
                <w:sz w:val="17"/>
              </w:rPr>
              <w:t>(This year − last year) ÷ last year</w:t>
            </w:r>
          </w:p>
        </w:tc>
        <w:tc>
          <w:tcPr>
            <w:tcW w:type="dxa" w:w="2592"/>
            <w:shd w:val="clear" w:fill="f4f6fa"/>
          </w:tcPr>
          <w:p>
            <w:r/>
            <w:r>
              <w:rPr>
                <w:sz w:val="17"/>
              </w:rPr>
              <w:t>(2 295 − 2 817) ÷ 2 817 = (18.5%)</w:t>
            </w:r>
          </w:p>
        </w:tc>
        <w:tc>
          <w:tcPr>
            <w:tcW w:type="dxa" w:w="2592"/>
            <w:shd w:val="clear" w:fill="f4f6fa"/>
          </w:tcPr>
          <w:p>
            <w:r/>
            <w:r>
              <w:rPr>
                <w:sz w:val="17"/>
              </w:rPr>
              <w:t>—</w:t>
            </w:r>
          </w:p>
        </w:tc>
      </w:tr>
    </w:tbl>
    <w:p>
      <w:pPr>
        <w:spacing w:before="40" w:after="20"/>
      </w:pPr>
      <w:r>
        <w:rPr>
          <w:b/>
          <w:i/>
          <w:color w:val="555555"/>
          <w:sz w:val="18"/>
        </w:rPr>
        <w:t>Analysis</w:t>
      </w:r>
    </w:p>
    <w:p>
      <w:pPr>
        <w:pStyle w:val="ListBullet"/>
        <w:spacing w:after="60"/>
      </w:pPr>
      <w:r>
        <w:rPr>
          <w:sz w:val="20"/>
        </w:rPr>
        <w:t>Mining costs now exceed revenue (123%), so each rand of sales does not even cover the cost of mining it.</w:t>
      </w:r>
    </w:p>
    <w:p>
      <w:pPr>
        <w:pStyle w:val="ListBullet"/>
        <w:spacing w:after="60"/>
      </w:pPr>
      <w:r>
        <w:rPr>
          <w:sz w:val="20"/>
        </w:rPr>
        <w:t>Costs fell 18.5%, which is far below inflation, but this was achieved partly by mining less and by cutting employee costs by 11%, so it may not reflect real efficiency.</w:t>
      </w:r>
    </w:p>
    <w:p>
      <w:pPr>
        <w:pStyle w:val="ListBullet"/>
        <w:spacing w:after="60"/>
      </w:pPr>
      <w:r>
        <w:rPr>
          <w:sz w:val="20"/>
        </w:rPr>
        <w:t>Without carats, the true efficiency measure of cost per carat cannot be calculated, which is a gap the company should close.</w:t>
      </w:r>
    </w:p>
    <w:p>
      <w:pPr>
        <w:spacing w:before="120" w:after="20"/>
      </w:pPr>
      <w:r>
        <w:rPr>
          <w:b/>
          <w:color w:val="1F3D6B"/>
          <w:sz w:val="22"/>
        </w:rPr>
        <w:t>2.3 Cash and balance sheet</w:t>
      </w:r>
    </w:p>
    <w:p>
      <w:pPr>
        <w:spacing w:before="40" w:after="20"/>
      </w:pPr>
      <w:r>
        <w:rPr>
          <w:b/>
          <w:i/>
          <w:color w:val="555555"/>
          <w:sz w:val="18"/>
        </w:rPr>
        <w:t>Formula and inputs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160"/>
            <w:shd w:val="clear" w:fill="4a5a72"/>
          </w:tcPr>
          <w:p>
            <w:r/>
            <w:r>
              <w:rPr>
                <w:b/>
                <w:color w:val="FFFFFF"/>
                <w:sz w:val="17"/>
              </w:rPr>
              <w:t>KPI</w:t>
            </w:r>
          </w:p>
        </w:tc>
        <w:tc>
          <w:tcPr>
            <w:tcW w:type="dxa" w:w="3024"/>
            <w:shd w:val="clear" w:fill="4a5a72"/>
          </w:tcPr>
          <w:p>
            <w:r/>
            <w:r>
              <w:rPr>
                <w:b/>
                <w:color w:val="FFFFFF"/>
                <w:sz w:val="17"/>
              </w:rPr>
              <w:t>Formula</w:t>
            </w:r>
          </w:p>
        </w:tc>
        <w:tc>
          <w:tcPr>
            <w:tcW w:type="dxa" w:w="2592"/>
            <w:shd w:val="clear" w:fill="4a5a72"/>
          </w:tcPr>
          <w:p>
            <w:r/>
            <w:r>
              <w:rPr>
                <w:b/>
                <w:color w:val="FFFFFF"/>
                <w:sz w:val="17"/>
              </w:rPr>
              <w:t>2026: inputs → result</w:t>
            </w:r>
          </w:p>
        </w:tc>
        <w:tc>
          <w:tcPr>
            <w:tcW w:type="dxa" w:w="2592"/>
            <w:shd w:val="clear" w:fill="4a5a72"/>
          </w:tcPr>
          <w:p>
            <w:r/>
            <w:r>
              <w:rPr>
                <w:b/>
                <w:color w:val="FFFFFF"/>
                <w:sz w:val="17"/>
              </w:rPr>
              <w:t>2025: inputs → result</w:t>
            </w:r>
          </w:p>
        </w:tc>
      </w:tr>
      <w:tr>
        <w:tc>
          <w:tcPr>
            <w:tcW w:type="dxa" w:w="2160"/>
            <w:shd w:val="clear" w:fill="f4f6fa"/>
          </w:tcPr>
          <w:p>
            <w:r/>
            <w:r>
              <w:rPr>
                <w:sz w:val="17"/>
              </w:rPr>
              <w:t>Net debt</w:t>
            </w:r>
          </w:p>
        </w:tc>
        <w:tc>
          <w:tcPr>
            <w:tcW w:type="dxa" w:w="3024"/>
            <w:shd w:val="clear" w:fill="f4f6fa"/>
          </w:tcPr>
          <w:p>
            <w:r/>
            <w:r>
              <w:rPr>
                <w:sz w:val="17"/>
              </w:rPr>
              <w:t>Borrowings − cash</w:t>
            </w:r>
          </w:p>
        </w:tc>
        <w:tc>
          <w:tcPr>
            <w:tcW w:type="dxa" w:w="2592"/>
            <w:shd w:val="clear" w:fill="f4f6fa"/>
          </w:tcPr>
          <w:p>
            <w:r/>
            <w:r>
              <w:rPr>
                <w:sz w:val="17"/>
              </w:rPr>
              <w:t>2 925 − 333 = 2 592</w:t>
            </w:r>
          </w:p>
        </w:tc>
        <w:tc>
          <w:tcPr>
            <w:tcW w:type="dxa" w:w="2592"/>
            <w:shd w:val="clear" w:fill="f4f6fa"/>
          </w:tcPr>
          <w:p>
            <w:r/>
            <w:r>
              <w:rPr>
                <w:sz w:val="17"/>
              </w:rPr>
              <w:t>2 439 − 261 = 2 178</w:t>
            </w:r>
          </w:p>
        </w:tc>
      </w:tr>
      <w:tr>
        <w:tc>
          <w:tcPr>
            <w:tcW w:type="dxa" w:w="2160"/>
            <w:shd w:val="clear" w:fill="f4f6fa"/>
          </w:tcPr>
          <w:p>
            <w:r/>
            <w:r>
              <w:rPr>
                <w:sz w:val="17"/>
              </w:rPr>
              <w:t>Net debt : EBITDA</w:t>
            </w:r>
          </w:p>
        </w:tc>
        <w:tc>
          <w:tcPr>
            <w:tcW w:type="dxa" w:w="3024"/>
            <w:shd w:val="clear" w:fill="f4f6fa"/>
          </w:tcPr>
          <w:p>
            <w:r/>
            <w:r>
              <w:rPr>
                <w:sz w:val="17"/>
              </w:rPr>
              <w:t>Net debt ÷ adjusted EBITDA</w:t>
            </w:r>
          </w:p>
        </w:tc>
        <w:tc>
          <w:tcPr>
            <w:tcW w:type="dxa" w:w="2592"/>
            <w:shd w:val="clear" w:fill="f4f6fa"/>
          </w:tcPr>
          <w:p>
            <w:r/>
            <w:r>
              <w:rPr>
                <w:sz w:val="17"/>
              </w:rPr>
              <w:t>2 592 ÷ 207 = 12.5x</w:t>
            </w:r>
          </w:p>
        </w:tc>
        <w:tc>
          <w:tcPr>
            <w:tcW w:type="dxa" w:w="2592"/>
            <w:shd w:val="clear" w:fill="f4f6fa"/>
          </w:tcPr>
          <w:p>
            <w:r/>
            <w:r>
              <w:rPr>
                <w:sz w:val="17"/>
              </w:rPr>
              <w:t>2 178 ÷ 540 = 4.0x</w:t>
            </w:r>
          </w:p>
        </w:tc>
      </w:tr>
      <w:tr>
        <w:tc>
          <w:tcPr>
            <w:tcW w:type="dxa" w:w="2160"/>
            <w:shd w:val="clear" w:fill="f4f6fa"/>
          </w:tcPr>
          <w:p>
            <w:r/>
            <w:r>
              <w:rPr>
                <w:sz w:val="17"/>
              </w:rPr>
              <w:t>Gearing</w:t>
            </w:r>
          </w:p>
        </w:tc>
        <w:tc>
          <w:tcPr>
            <w:tcW w:type="dxa" w:w="3024"/>
            <w:shd w:val="clear" w:fill="f4f6fa"/>
          </w:tcPr>
          <w:p>
            <w:r/>
            <w:r>
              <w:rPr>
                <w:sz w:val="17"/>
              </w:rPr>
              <w:t>Net debt ÷ equity</w:t>
            </w:r>
          </w:p>
        </w:tc>
        <w:tc>
          <w:tcPr>
            <w:tcW w:type="dxa" w:w="2592"/>
            <w:shd w:val="clear" w:fill="f4f6fa"/>
          </w:tcPr>
          <w:p>
            <w:r/>
            <w:r>
              <w:rPr>
                <w:sz w:val="17"/>
              </w:rPr>
              <w:t>2 592 ÷ 891 = 291%</w:t>
            </w:r>
          </w:p>
        </w:tc>
        <w:tc>
          <w:tcPr>
            <w:tcW w:type="dxa" w:w="2592"/>
            <w:shd w:val="clear" w:fill="f4f6fa"/>
          </w:tcPr>
          <w:p>
            <w:r/>
            <w:r>
              <w:rPr>
                <w:sz w:val="17"/>
              </w:rPr>
              <w:t>2 178 ÷ 1 917 = 114%</w:t>
            </w:r>
          </w:p>
        </w:tc>
      </w:tr>
      <w:tr>
        <w:tc>
          <w:tcPr>
            <w:tcW w:type="dxa" w:w="2160"/>
            <w:shd w:val="clear" w:fill="f4f6fa"/>
          </w:tcPr>
          <w:p>
            <w:r/>
            <w:r>
              <w:rPr>
                <w:sz w:val="17"/>
              </w:rPr>
              <w:t>Current ratio</w:t>
            </w:r>
          </w:p>
        </w:tc>
        <w:tc>
          <w:tcPr>
            <w:tcW w:type="dxa" w:w="3024"/>
            <w:shd w:val="clear" w:fill="f4f6fa"/>
          </w:tcPr>
          <w:p>
            <w:r/>
            <w:r>
              <w:rPr>
                <w:sz w:val="17"/>
              </w:rPr>
              <w:t>Current assets ÷ current liabilities</w:t>
            </w:r>
          </w:p>
        </w:tc>
        <w:tc>
          <w:tcPr>
            <w:tcW w:type="dxa" w:w="2592"/>
            <w:shd w:val="clear" w:fill="f4f6fa"/>
          </w:tcPr>
          <w:p>
            <w:r/>
            <w:r>
              <w:rPr>
                <w:sz w:val="17"/>
              </w:rPr>
              <w:t>1 017 ÷ 3 357 = 0.30</w:t>
            </w:r>
          </w:p>
        </w:tc>
        <w:tc>
          <w:tcPr>
            <w:tcW w:type="dxa" w:w="2592"/>
            <w:shd w:val="clear" w:fill="f4f6fa"/>
          </w:tcPr>
          <w:p>
            <w:r/>
            <w:r>
              <w:rPr>
                <w:sz w:val="17"/>
              </w:rPr>
              <w:t>1 350 ÷ 1 206 = 1.12</w:t>
            </w:r>
          </w:p>
        </w:tc>
      </w:tr>
      <w:tr>
        <w:tc>
          <w:tcPr>
            <w:tcW w:type="dxa" w:w="2160"/>
            <w:shd w:val="clear" w:fill="f4f6fa"/>
          </w:tcPr>
          <w:p>
            <w:r/>
            <w:r>
              <w:rPr>
                <w:sz w:val="17"/>
              </w:rPr>
              <w:t>Interest cover</w:t>
            </w:r>
          </w:p>
        </w:tc>
        <w:tc>
          <w:tcPr>
            <w:tcW w:type="dxa" w:w="3024"/>
            <w:shd w:val="clear" w:fill="f4f6fa"/>
          </w:tcPr>
          <w:p>
            <w:r/>
            <w:r>
              <w:rPr>
                <w:sz w:val="17"/>
              </w:rPr>
              <w:t>Operating profit ÷ finance expense</w:t>
            </w:r>
          </w:p>
        </w:tc>
        <w:tc>
          <w:tcPr>
            <w:tcW w:type="dxa" w:w="2592"/>
            <w:shd w:val="clear" w:fill="f4f6fa"/>
          </w:tcPr>
          <w:p>
            <w:r/>
            <w:r>
              <w:rPr>
                <w:sz w:val="17"/>
              </w:rPr>
              <w:t>Operating loss ÷ 378 = none</w:t>
            </w:r>
          </w:p>
        </w:tc>
        <w:tc>
          <w:tcPr>
            <w:tcW w:type="dxa" w:w="2592"/>
            <w:shd w:val="clear" w:fill="f4f6fa"/>
          </w:tcPr>
          <w:p>
            <w:r/>
            <w:r>
              <w:rPr>
                <w:sz w:val="17"/>
              </w:rPr>
              <w:t>Operating loss ÷ 360 = none</w:t>
            </w:r>
          </w:p>
        </w:tc>
      </w:tr>
    </w:tbl>
    <w:p>
      <w:pPr>
        <w:spacing w:before="40" w:after="20"/>
      </w:pPr>
      <w:r>
        <w:rPr>
          <w:b/>
          <w:i/>
          <w:color w:val="555555"/>
          <w:sz w:val="18"/>
        </w:rPr>
        <w:t>Analysis</w:t>
      </w:r>
    </w:p>
    <w:p>
      <w:pPr>
        <w:pStyle w:val="ListBullet"/>
        <w:spacing w:after="60"/>
      </w:pPr>
      <w:r>
        <w:rPr>
          <w:sz w:val="20"/>
        </w:rPr>
        <w:t>Net debt of R2 592m against adjusted EBITDA of R207m gives a ratio of 12.5x, which is an extreme distress signal.</w:t>
      </w:r>
    </w:p>
    <w:p>
      <w:pPr>
        <w:pStyle w:val="ListBullet"/>
        <w:spacing w:after="60"/>
      </w:pPr>
      <w:r>
        <w:rPr>
          <w:sz w:val="20"/>
        </w:rPr>
        <w:t>Gearing has almost tripled to 291%, because the R1 044m loss nearly halved equity while net debt rose.</w:t>
      </w:r>
    </w:p>
    <w:p>
      <w:pPr>
        <w:pStyle w:val="ListBullet"/>
        <w:spacing w:after="60"/>
      </w:pPr>
      <w:r>
        <w:rPr>
          <w:sz w:val="20"/>
        </w:rPr>
        <w:t>The current ratio collapsed to 0.30, mainly because R2 925m of loans were reclassified to current, which is the going-concern trigger.</w:t>
      </w:r>
    </w:p>
    <w:p>
      <w:pPr>
        <w:pStyle w:val="ListBullet"/>
        <w:spacing w:after="60"/>
      </w:pPr>
      <w:r>
        <w:rPr>
          <w:sz w:val="20"/>
        </w:rPr>
        <w:t>There is no interest cover, because operations made a loss, so finance costs are met from cash and refinancing rather than earnings.</w:t>
      </w:r>
    </w:p>
    <w:p>
      <w:pPr>
        <w:spacing w:before="120" w:after="20"/>
      </w:pPr>
      <w:r>
        <w:rPr>
          <w:b/>
          <w:color w:val="1F3D6B"/>
          <w:sz w:val="22"/>
        </w:rPr>
        <w:t>2.4 Working capital</w:t>
      </w:r>
    </w:p>
    <w:p>
      <w:pPr>
        <w:spacing w:before="40" w:after="20"/>
      </w:pPr>
      <w:r>
        <w:rPr>
          <w:b/>
          <w:i/>
          <w:color w:val="555555"/>
          <w:sz w:val="18"/>
        </w:rPr>
        <w:t>Formula and inputs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160"/>
            <w:shd w:val="clear" w:fill="4a5a72"/>
          </w:tcPr>
          <w:p>
            <w:r/>
            <w:r>
              <w:rPr>
                <w:b/>
                <w:color w:val="FFFFFF"/>
                <w:sz w:val="17"/>
              </w:rPr>
              <w:t>KPI</w:t>
            </w:r>
          </w:p>
        </w:tc>
        <w:tc>
          <w:tcPr>
            <w:tcW w:type="dxa" w:w="3024"/>
            <w:shd w:val="clear" w:fill="4a5a72"/>
          </w:tcPr>
          <w:p>
            <w:r/>
            <w:r>
              <w:rPr>
                <w:b/>
                <w:color w:val="FFFFFF"/>
                <w:sz w:val="17"/>
              </w:rPr>
              <w:t>Formula</w:t>
            </w:r>
          </w:p>
        </w:tc>
        <w:tc>
          <w:tcPr>
            <w:tcW w:type="dxa" w:w="2592"/>
            <w:shd w:val="clear" w:fill="4a5a72"/>
          </w:tcPr>
          <w:p>
            <w:r/>
            <w:r>
              <w:rPr>
                <w:b/>
                <w:color w:val="FFFFFF"/>
                <w:sz w:val="17"/>
              </w:rPr>
              <w:t>2026: inputs → result</w:t>
            </w:r>
          </w:p>
        </w:tc>
        <w:tc>
          <w:tcPr>
            <w:tcW w:type="dxa" w:w="2592"/>
            <w:shd w:val="clear" w:fill="4a5a72"/>
          </w:tcPr>
          <w:p>
            <w:r/>
            <w:r>
              <w:rPr>
                <w:b/>
                <w:color w:val="FFFFFF"/>
                <w:sz w:val="17"/>
              </w:rPr>
              <w:t>2025: inputs → result</w:t>
            </w:r>
          </w:p>
        </w:tc>
      </w:tr>
      <w:tr>
        <w:tc>
          <w:tcPr>
            <w:tcW w:type="dxa" w:w="2160"/>
            <w:shd w:val="clear" w:fill="f4f6fa"/>
          </w:tcPr>
          <w:p>
            <w:r/>
            <w:r>
              <w:rPr>
                <w:sz w:val="17"/>
              </w:rPr>
              <w:t>Inventory days</w:t>
            </w:r>
          </w:p>
        </w:tc>
        <w:tc>
          <w:tcPr>
            <w:tcW w:type="dxa" w:w="3024"/>
            <w:shd w:val="clear" w:fill="f4f6fa"/>
          </w:tcPr>
          <w:p>
            <w:r/>
            <w:r>
              <w:rPr>
                <w:sz w:val="17"/>
              </w:rPr>
              <w:t>Inventory ÷ mining costs × 365</w:t>
            </w:r>
          </w:p>
        </w:tc>
        <w:tc>
          <w:tcPr>
            <w:tcW w:type="dxa" w:w="2592"/>
            <w:shd w:val="clear" w:fill="f4f6fa"/>
          </w:tcPr>
          <w:p>
            <w:r/>
            <w:r>
              <w:rPr>
                <w:sz w:val="17"/>
              </w:rPr>
              <w:t>315 ÷ 2 295 × 365 = 50 days</w:t>
            </w:r>
          </w:p>
        </w:tc>
        <w:tc>
          <w:tcPr>
            <w:tcW w:type="dxa" w:w="2592"/>
            <w:shd w:val="clear" w:fill="f4f6fa"/>
          </w:tcPr>
          <w:p>
            <w:r/>
            <w:r>
              <w:rPr>
                <w:sz w:val="17"/>
              </w:rPr>
              <w:t>459 ÷ 2 817 × 365 = 59 days</w:t>
            </w:r>
          </w:p>
        </w:tc>
      </w:tr>
      <w:tr>
        <w:tc>
          <w:tcPr>
            <w:tcW w:type="dxa" w:w="2160"/>
            <w:shd w:val="clear" w:fill="f4f6fa"/>
          </w:tcPr>
          <w:p>
            <w:r/>
            <w:r>
              <w:rPr>
                <w:sz w:val="17"/>
              </w:rPr>
              <w:t>Receivables days</w:t>
            </w:r>
          </w:p>
        </w:tc>
        <w:tc>
          <w:tcPr>
            <w:tcW w:type="dxa" w:w="3024"/>
            <w:shd w:val="clear" w:fill="f4f6fa"/>
          </w:tcPr>
          <w:p>
            <w:r/>
            <w:r>
              <w:rPr>
                <w:sz w:val="17"/>
              </w:rPr>
              <w:t>Receivables ÷ revenue × 365</w:t>
            </w:r>
          </w:p>
        </w:tc>
        <w:tc>
          <w:tcPr>
            <w:tcW w:type="dxa" w:w="2592"/>
            <w:shd w:val="clear" w:fill="f4f6fa"/>
          </w:tcPr>
          <w:p>
            <w:r/>
            <w:r>
              <w:rPr>
                <w:sz w:val="17"/>
              </w:rPr>
              <w:t>198 ÷ 1 863 × 365 = 39 days</w:t>
            </w:r>
          </w:p>
        </w:tc>
        <w:tc>
          <w:tcPr>
            <w:tcW w:type="dxa" w:w="2592"/>
            <w:shd w:val="clear" w:fill="f4f6fa"/>
          </w:tcPr>
          <w:p>
            <w:r/>
            <w:r>
              <w:rPr>
                <w:sz w:val="17"/>
              </w:rPr>
              <w:t>477 ÷ 2 790 × 365 = 62 days</w:t>
            </w:r>
          </w:p>
        </w:tc>
      </w:tr>
      <w:tr>
        <w:tc>
          <w:tcPr>
            <w:tcW w:type="dxa" w:w="2160"/>
            <w:shd w:val="clear" w:fill="f4f6fa"/>
          </w:tcPr>
          <w:p>
            <w:r/>
            <w:r>
              <w:rPr>
                <w:sz w:val="17"/>
              </w:rPr>
              <w:t>Payables days</w:t>
            </w:r>
          </w:p>
        </w:tc>
        <w:tc>
          <w:tcPr>
            <w:tcW w:type="dxa" w:w="3024"/>
            <w:shd w:val="clear" w:fill="f4f6fa"/>
          </w:tcPr>
          <w:p>
            <w:r/>
            <w:r>
              <w:rPr>
                <w:sz w:val="17"/>
              </w:rPr>
              <w:t>Payables ÷ mining costs × 365</w:t>
            </w:r>
          </w:p>
        </w:tc>
        <w:tc>
          <w:tcPr>
            <w:tcW w:type="dxa" w:w="2592"/>
            <w:shd w:val="clear" w:fill="f4f6fa"/>
          </w:tcPr>
          <w:p>
            <w:r/>
            <w:r>
              <w:rPr>
                <w:sz w:val="17"/>
              </w:rPr>
              <w:t>297 ÷ 2 295 × 365 = 47 days</w:t>
            </w:r>
          </w:p>
        </w:tc>
        <w:tc>
          <w:tcPr>
            <w:tcW w:type="dxa" w:w="2592"/>
            <w:shd w:val="clear" w:fill="f4f6fa"/>
          </w:tcPr>
          <w:p>
            <w:r/>
            <w:r>
              <w:rPr>
                <w:sz w:val="17"/>
              </w:rPr>
              <w:t>702 ÷ 2 817 × 365 = 91 days</w:t>
            </w:r>
          </w:p>
        </w:tc>
      </w:tr>
    </w:tbl>
    <w:p>
      <w:pPr>
        <w:spacing w:before="40" w:after="20"/>
      </w:pPr>
      <w:r>
        <w:rPr>
          <w:b/>
          <w:i/>
          <w:color w:val="555555"/>
          <w:sz w:val="18"/>
        </w:rPr>
        <w:t>Analysis</w:t>
      </w:r>
    </w:p>
    <w:p>
      <w:pPr>
        <w:pStyle w:val="ListBullet"/>
        <w:spacing w:after="60"/>
      </w:pPr>
      <w:r>
        <w:rPr>
          <w:sz w:val="20"/>
        </w:rPr>
        <w:t>Inventory days fell from 59 to 50, which frees cash but risks selling diamonds into a weak market against the strategy.</w:t>
      </w:r>
    </w:p>
    <w:p>
      <w:pPr>
        <w:pStyle w:val="ListBullet"/>
        <w:spacing w:after="60"/>
      </w:pPr>
      <w:r>
        <w:rPr>
          <w:sz w:val="20"/>
        </w:rPr>
        <w:t>Receivables days improved from 62 to 39, but partly because revenue is lower and tender sales settle on award.</w:t>
      </w:r>
    </w:p>
    <w:p>
      <w:pPr>
        <w:pStyle w:val="ListBullet"/>
        <w:spacing w:after="60"/>
      </w:pPr>
      <w:r>
        <w:rPr>
          <w:sz w:val="20"/>
        </w:rPr>
        <w:t>Payables days almost halved from 91 to 47, meaning suppliers are being paid much faster while cash is scarce, which is a further drain.</w:t>
      </w:r>
    </w:p>
    <w:p>
      <w:pPr>
        <w:spacing w:before="120" w:after="20"/>
      </w:pPr>
      <w:r>
        <w:rPr>
          <w:b/>
          <w:color w:val="1F3D6B"/>
          <w:sz w:val="22"/>
        </w:rPr>
        <w:t>2.5 Measures that cannot be calculated from the pre-release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024"/>
            <w:shd w:val="clear" w:fill="1f3d6b"/>
          </w:tcPr>
          <w:p>
            <w:r/>
            <w:r>
              <w:rPr>
                <w:b/>
                <w:color w:val="FFFFFF"/>
                <w:sz w:val="17"/>
              </w:rPr>
              <w:t>KPI (industry standard)</w:t>
            </w:r>
          </w:p>
        </w:tc>
        <w:tc>
          <w:tcPr>
            <w:tcW w:type="dxa" w:w="3168"/>
            <w:shd w:val="clear" w:fill="1f3d6b"/>
          </w:tcPr>
          <w:p>
            <w:r/>
            <w:r>
              <w:rPr>
                <w:b/>
                <w:color w:val="FFFFFF"/>
                <w:sz w:val="17"/>
              </w:rPr>
              <w:t>Formula</w:t>
            </w:r>
          </w:p>
        </w:tc>
        <w:tc>
          <w:tcPr>
            <w:tcW w:type="dxa" w:w="3888"/>
            <w:shd w:val="clear" w:fill="1f3d6b"/>
          </w:tcPr>
          <w:p>
            <w:r/>
            <w:r>
              <w:rPr>
                <w:b/>
                <w:color w:val="FFFFFF"/>
                <w:sz w:val="17"/>
              </w:rPr>
              <w:t>Why it cannot be calculated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7"/>
              </w:rPr>
              <w:t>Realised US$ per carat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Revenue ÷ carats sold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Carats sold are not disclosed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7"/>
              </w:rPr>
              <w:t>Carats recovered / grade / recovery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Various operating ratios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No production or tonnage data is given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7"/>
              </w:rPr>
              <w:t>Free cash flow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Operating cash flow − sustaining capex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No cash flow statement; adjusted EBITDA of R207m is the best proxy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7"/>
              </w:rPr>
              <w:t>Earnings per share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Loss ÷ weighted-average shares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The number of shares is not disclosed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7"/>
              </w:rPr>
              <w:t>Safety (LTIFR / TRIFR)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Injuries × 1 000 000 ÷ hours worked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No safety data is disclosed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7"/>
              </w:rPr>
              <w:t>Total shareholder return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(Share price change + dividends) ÷ opening price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No share price is disclosed</w:t>
            </w:r>
          </w:p>
        </w:tc>
      </w:tr>
    </w:tbl>
    <w:p>
      <w:pPr>
        <w:spacing w:before="40" w:after="20"/>
      </w:pPr>
      <w:r>
        <w:rPr>
          <w:b/>
          <w:i/>
          <w:color w:val="555555"/>
          <w:sz w:val="18"/>
        </w:rPr>
        <w:t>Analysis</w:t>
      </w:r>
    </w:p>
    <w:p>
      <w:pPr>
        <w:pStyle w:val="ListBullet"/>
        <w:spacing w:after="60"/>
      </w:pPr>
      <w:r>
        <w:rPr>
          <w:sz w:val="20"/>
        </w:rPr>
        <w:t>Diamante does not disclose the production, per-carat, safety or share-based data that every listed diamond miner reports.</w:t>
      </w:r>
    </w:p>
    <w:p>
      <w:pPr>
        <w:pStyle w:val="ListBullet"/>
        <w:spacing w:after="60"/>
      </w:pPr>
      <w:r>
        <w:rPr>
          <w:sz w:val="20"/>
        </w:rPr>
        <w:t>This means the most important value, cost, safety and shareholder KPIs cannot even be measured, which is itself a significant finding.</w:t>
      </w:r>
    </w:p>
    <w:p>
      <w:pPr>
        <w:spacing w:before="180" w:after="40"/>
        <w:pBdr>
          <w:bottom w:val="single" w:sz="6" w:space="2" w:color="808080"/>
        </w:pBdr>
      </w:pPr>
      <w:r>
        <w:rPr>
          <w:b/>
          <w:color w:val="1F3D6B"/>
          <w:sz w:val="26"/>
        </w:rPr>
        <w:t>3. The standard diamond-industry KPIs Diamante is missing (qualitative analysis)</w:t>
      </w:r>
    </w:p>
    <w:p>
      <w:pPr>
        <w:spacing w:after="80"/>
      </w:pPr>
      <w:r>
        <w:rPr>
          <w:b w:val="0"/>
          <w:i/>
          <w:sz w:val="19"/>
        </w:rPr>
        <w:t>The following measures are standard across the diamond industry, yet are absent from both Diamante’s disclosure and its incentive scheme, and their omission is significant.</w:t>
      </w:r>
    </w:p>
    <w:p>
      <w:pPr>
        <w:spacing w:before="120" w:after="20"/>
      </w:pPr>
      <w:r>
        <w:rPr>
          <w:b/>
          <w:color w:val="1F3D6B"/>
          <w:sz w:val="22"/>
        </w:rPr>
        <w:t>Realised US dollars per carat</w:t>
      </w:r>
    </w:p>
    <w:p>
      <w:pPr>
        <w:pStyle w:val="ListBullet"/>
        <w:spacing w:after="60"/>
      </w:pPr>
      <w:r>
        <w:rPr>
          <w:sz w:val="20"/>
        </w:rPr>
        <w:t>This is the single most important value metric in the diamond industry, because it shows how much value is extracted from each stone sold.</w:t>
      </w:r>
    </w:p>
    <w:p>
      <w:pPr>
        <w:pStyle w:val="ListBullet"/>
        <w:spacing w:after="60"/>
      </w:pPr>
      <w:r>
        <w:rPr>
          <w:sz w:val="20"/>
        </w:rPr>
        <w:t>It captures Diamante’s value-led strategy far better than the vague high-value-percentage measure the scheme uses.</w:t>
      </w:r>
    </w:p>
    <w:p>
      <w:pPr>
        <w:pStyle w:val="ListBullet"/>
        <w:spacing w:after="60"/>
      </w:pPr>
      <w:r>
        <w:rPr>
          <w:sz w:val="20"/>
        </w:rPr>
        <w:t>Without it, Diamante cannot show whether it is really realising higher value, and management is not rewarded for the tender-timing decisions that protect price.</w:t>
      </w:r>
    </w:p>
    <w:p>
      <w:pPr>
        <w:spacing w:before="120" w:after="20"/>
      </w:pPr>
      <w:r>
        <w:rPr>
          <w:b/>
          <w:color w:val="1F3D6B"/>
          <w:sz w:val="22"/>
        </w:rPr>
        <w:t>Cost per carat (unit cost)</w:t>
      </w:r>
    </w:p>
    <w:p>
      <w:pPr>
        <w:pStyle w:val="ListBullet"/>
        <w:spacing w:after="60"/>
      </w:pPr>
      <w:r>
        <w:rPr>
          <w:sz w:val="20"/>
        </w:rPr>
        <w:t>Cost per carat is the industry-standard efficiency measure, because it separates genuine efficiency from simply changing volumes.</w:t>
      </w:r>
    </w:p>
    <w:p>
      <w:pPr>
        <w:pStyle w:val="ListBullet"/>
        <w:spacing w:after="60"/>
      </w:pPr>
      <w:r>
        <w:rPr>
          <w:sz w:val="20"/>
        </w:rPr>
        <w:t>Diamante instead rewards absolute cost growth below inflation, which can be met by mining less rather than mining better.</w:t>
      </w:r>
    </w:p>
    <w:p>
      <w:pPr>
        <w:pStyle w:val="ListBullet"/>
        <w:spacing w:after="60"/>
      </w:pPr>
      <w:r>
        <w:rPr>
          <w:sz w:val="20"/>
        </w:rPr>
        <w:t>This matters now, because Mine 2’s volumes are collapsing, so an absolute cost measure flatters performance while unit costs may be rising.</w:t>
      </w:r>
    </w:p>
    <w:p>
      <w:pPr>
        <w:spacing w:before="120" w:after="20"/>
      </w:pPr>
      <w:r>
        <w:rPr>
          <w:b/>
          <w:color w:val="1F3D6B"/>
          <w:sz w:val="22"/>
        </w:rPr>
        <w:t>Carats recovered, grade and recovery</w:t>
      </w:r>
    </w:p>
    <w:p>
      <w:pPr>
        <w:pStyle w:val="ListBullet"/>
        <w:spacing w:after="60"/>
      </w:pPr>
      <w:r>
        <w:rPr>
          <w:sz w:val="20"/>
        </w:rPr>
        <w:t>These core production metrics are reported by every listed diamond miner, because they underpin every value and cost KPI.</w:t>
      </w:r>
    </w:p>
    <w:p>
      <w:pPr>
        <w:pStyle w:val="ListBullet"/>
        <w:spacing w:after="60"/>
      </w:pPr>
      <w:r>
        <w:rPr>
          <w:sz w:val="20"/>
        </w:rPr>
        <w:t>Diamante discloses no carat or tonnage data, so none of the per-carat value or cost KPIs can be calculated.</w:t>
      </w:r>
    </w:p>
    <w:p>
      <w:pPr>
        <w:pStyle w:val="ListBullet"/>
        <w:spacing w:after="60"/>
      </w:pPr>
      <w:r>
        <w:rPr>
          <w:sz w:val="20"/>
        </w:rPr>
        <w:t>For a listed company this is a real disclosure gap that auditors and analysts would question.</w:t>
      </w:r>
    </w:p>
    <w:p>
      <w:pPr>
        <w:spacing w:before="120" w:after="20"/>
      </w:pPr>
      <w:r>
        <w:rPr>
          <w:b/>
          <w:color w:val="1F3D6B"/>
          <w:sz w:val="22"/>
        </w:rPr>
        <w:t>Free cash flow and net-debt reduction</w:t>
      </w:r>
    </w:p>
    <w:p>
      <w:pPr>
        <w:pStyle w:val="ListBullet"/>
        <w:spacing w:after="60"/>
      </w:pPr>
      <w:r>
        <w:rPr>
          <w:sz w:val="20"/>
        </w:rPr>
        <w:t>These are the survival KPIs, and for a company in Diamante’s position they are the most important of all.</w:t>
      </w:r>
    </w:p>
    <w:p>
      <w:pPr>
        <w:pStyle w:val="ListBullet"/>
        <w:spacing w:after="60"/>
      </w:pPr>
      <w:r>
        <w:rPr>
          <w:sz w:val="20"/>
        </w:rPr>
        <w:t>The company’s survival depends on generating cash and completing a refinancing, yet neither is measured or rewarded.</w:t>
      </w:r>
    </w:p>
    <w:p>
      <w:pPr>
        <w:pStyle w:val="ListBullet"/>
        <w:spacing w:after="60"/>
      </w:pPr>
      <w:r>
        <w:rPr>
          <w:sz w:val="20"/>
        </w:rPr>
        <w:t>Rewarding deleveraging would align management directly with survival and with the shareholders being asked for a rights issue.</w:t>
      </w:r>
    </w:p>
    <w:p>
      <w:pPr>
        <w:spacing w:before="120" w:after="20"/>
      </w:pPr>
      <w:r>
        <w:rPr>
          <w:b/>
          <w:color w:val="1F3D6B"/>
          <w:sz w:val="22"/>
        </w:rPr>
        <w:t>Safety (LTIFR / TRIFR)</w:t>
      </w:r>
    </w:p>
    <w:p>
      <w:pPr>
        <w:pStyle w:val="ListBullet"/>
        <w:spacing w:after="60"/>
      </w:pPr>
      <w:r>
        <w:rPr>
          <w:sz w:val="20"/>
        </w:rPr>
        <w:t>Safety performance is a non-negotiable KPI in mining, because it protects lives and the licence to operate.</w:t>
      </w:r>
    </w:p>
    <w:p>
      <w:pPr>
        <w:pStyle w:val="ListBullet"/>
        <w:spacing w:after="60"/>
      </w:pPr>
      <w:r>
        <w:rPr>
          <w:sz w:val="20"/>
        </w:rPr>
        <w:t>Its absence is dangerous here, because the cost KPI could reward cutting the safety and maintenance spending a deep-level mine depends on.</w:t>
      </w:r>
    </w:p>
    <w:p>
      <w:pPr>
        <w:spacing w:before="120" w:after="20"/>
      </w:pPr>
      <w:r>
        <w:rPr>
          <w:b/>
          <w:color w:val="1F3D6B"/>
          <w:sz w:val="22"/>
        </w:rPr>
        <w:t>ESG intensity outcomes</w:t>
      </w:r>
    </w:p>
    <w:p>
      <w:pPr>
        <w:pStyle w:val="ListBullet"/>
        <w:spacing w:after="60"/>
      </w:pPr>
      <w:r>
        <w:rPr>
          <w:sz w:val="20"/>
        </w:rPr>
        <w:t>Peers report actual outcomes such as carbon and water intensity per carat, tailings compliance and rehabilitation progress.</w:t>
      </w:r>
    </w:p>
    <w:p>
      <w:pPr>
        <w:pStyle w:val="ListBullet"/>
        <w:spacing w:after="60"/>
      </w:pPr>
      <w:r>
        <w:rPr>
          <w:sz w:val="20"/>
        </w:rPr>
        <w:t>Diamante has a 35–40% Scope 1 and 2 reduction roadmap but rewards an external reporting award instead of the real outcomes, which is a greenwashing risk.</w:t>
      </w:r>
    </w:p>
    <w:p>
      <w:pPr>
        <w:spacing w:before="120" w:after="20"/>
      </w:pPr>
      <w:r>
        <w:rPr>
          <w:b/>
          <w:color w:val="1F3D6B"/>
          <w:sz w:val="22"/>
        </w:rPr>
        <w:t>Reserves and life-of-mine</w:t>
      </w:r>
    </w:p>
    <w:p>
      <w:pPr>
        <w:pStyle w:val="ListBullet"/>
        <w:spacing w:after="60"/>
      </w:pPr>
      <w:r>
        <w:rPr>
          <w:sz w:val="20"/>
        </w:rPr>
        <w:t>A reserve and life-of-mine KPI is standard, because a miner’s long-term value is its remaining resource.</w:t>
      </w:r>
    </w:p>
    <w:p>
      <w:pPr>
        <w:pStyle w:val="ListBullet"/>
        <w:spacing w:after="60"/>
      </w:pPr>
      <w:r>
        <w:rPr>
          <w:sz w:val="20"/>
        </w:rPr>
        <w:t>This is directly relevant, because the board has identified the life of mines and capital-project prioritisation as a key focus.</w:t>
      </w:r>
    </w:p>
    <w:p>
      <w:pPr>
        <w:pStyle w:val="ListBullet"/>
        <w:spacing w:after="60"/>
      </w:pPr>
      <w:r>
        <w:rPr>
          <w:sz w:val="20"/>
        </w:rPr>
        <w:t>Such a KPI would also counter the risk that the value KPI encourages high-grading and the sterilisation of lower-grade ore.</w:t>
      </w:r>
    </w:p>
    <w:p>
      <w:pPr>
        <w:spacing w:before="120" w:after="20"/>
      </w:pPr>
      <w:r>
        <w:rPr>
          <w:b/>
          <w:color w:val="1F3D6B"/>
          <w:sz w:val="22"/>
        </w:rPr>
        <w:t>Relative Total Shareholder Return</w:t>
      </w:r>
    </w:p>
    <w:p>
      <w:pPr>
        <w:pStyle w:val="ListBullet"/>
        <w:spacing w:after="60"/>
      </w:pPr>
      <w:r>
        <w:rPr>
          <w:sz w:val="20"/>
        </w:rPr>
        <w:t>Relative Total Shareholder Return is the standard long-term-incentive measure for listed miners, because it aligns pay with the actual return to shareholders.</w:t>
      </w:r>
    </w:p>
    <w:p>
      <w:pPr>
        <w:pStyle w:val="ListBullet"/>
        <w:spacing w:after="60"/>
      </w:pPr>
      <w:r>
        <w:rPr>
          <w:sz w:val="20"/>
        </w:rPr>
        <w:t>Measured relative to peers such as Petra and Gem Diamonds, it strips out the diamond price cycle that management cannot control.</w:t>
      </w:r>
    </w:p>
    <w:p>
      <w:pPr>
        <w:pStyle w:val="ListBullet"/>
        <w:spacing w:after="60"/>
      </w:pPr>
      <w:r>
        <w:rPr>
          <w:sz w:val="20"/>
        </w:rPr>
        <w:t>It would be a far better basis for a share-based long-term scheme than the annual, gameable KPIs currently proposed.</w:t>
      </w:r>
    </w:p>
    <w:p>
      <w:pPr>
        <w:spacing w:before="180" w:after="40"/>
        <w:pBdr>
          <w:bottom w:val="single" w:sz="6" w:space="2" w:color="808080"/>
        </w:pBdr>
      </w:pPr>
      <w:r>
        <w:rPr>
          <w:b/>
          <w:color w:val="1F3D6B"/>
          <w:sz w:val="26"/>
        </w:rPr>
        <w:t>4. Bringing it together for the incentive scheme</w:t>
      </w:r>
    </w:p>
    <w:p>
      <w:pPr>
        <w:pStyle w:val="ListBullet"/>
        <w:spacing w:after="60"/>
      </w:pPr>
      <w:r>
        <w:rPr>
          <w:sz w:val="20"/>
        </w:rPr>
        <w:t>The calculations show a loss-making, highly geared business whose survival depends on cash and refinancing, so the measures that matter most are cash, net debt, unit cost, realised value, safety and real ESG outcomes.</w:t>
      </w:r>
    </w:p>
    <w:p>
      <w:pPr>
        <w:pStyle w:val="ListBullet"/>
        <w:spacing w:after="60"/>
      </w:pPr>
      <w:r>
        <w:rPr>
          <w:sz w:val="20"/>
        </w:rPr>
        <w:t>These are precisely the industry-standard KPIs Diamante does not use, while the KPIs it does use are largely uncontrollable, unachievable or gameable.</w:t>
      </w:r>
    </w:p>
    <w:p>
      <w:pPr>
        <w:pStyle w:val="ListBullet"/>
        <w:spacing w:after="60"/>
      </w:pPr>
      <w:r>
        <w:rPr>
          <w:sz w:val="20"/>
        </w:rPr>
        <w:t>The incentive scheme should be rebuilt on this industry-standard set, tiered by responsibility, measured per mine where possible, and market-adjusted against peers.</w:t>
      </w:r>
    </w:p>
    <w:p>
      <w:pPr>
        <w:pStyle w:val="ListBullet"/>
        <w:spacing w:after="60"/>
      </w:pPr>
      <w:r>
        <w:rPr>
          <w:sz w:val="20"/>
        </w:rPr>
        <w:t>Diamante should also start disclosing the operating, safety and ESG-intensity metrics its listed peers report, because without that data neither management nor investors can measure the performance that truly drives value.</w:t>
      </w:r>
    </w:p>
    <w:p>
      <w:pPr>
        <w:spacing w:after="80"/>
      </w:pPr>
      <w:r>
        <w:rPr>
          <w:b w:val="0"/>
          <w:i/>
          <w:sz w:val="17"/>
        </w:rPr>
        <w:t>Figures are calculated from the Diamante draft FY2026 pre-release financials; per-carat, safety and ESG-intensity measures require production data that is not disclosed and should be requested.</w:t>
      </w:r>
    </w:p>
    <w:sectPr w:rsidR="00FC693F" w:rsidRPr="0006063C" w:rsidSect="00034616"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