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7"/>
        </w:rPr>
        <w:t>Diamante Ltd — Top 6 ESG KPIs to Replace the EY Integrated-Reporting Rating (KPI 5)</w:t>
      </w:r>
    </w:p>
    <w:p>
      <w:pPr>
        <w:pStyle w:val="ListBullet"/>
        <w:spacing w:after="60"/>
      </w:pPr>
      <w:r>
        <w:rPr>
          <w:sz w:val="20"/>
        </w:rPr>
        <w:t>These are the six strongest alternatives, chosen because they match Diamante’s biggest ESG risks and can be measured and targeted.</w:t>
      </w:r>
    </w:p>
    <w:p>
      <w:pPr>
        <w:pStyle w:val="ListBullet"/>
        <w:spacing w:after="60"/>
      </w:pPr>
      <w:r>
        <w:rPr>
          <w:sz w:val="20"/>
        </w:rPr>
        <w:t>Each is a hard outcome management controls, so it fixes the greenwashing weakness of rating the report instead of real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403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ESG KPI</w:t>
            </w:r>
          </w:p>
        </w:tc>
        <w:tc>
          <w:tcPr>
            <w:tcW w:type="dxa" w:w="2160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1584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151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773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Why it is best for Diamante</w:t>
            </w:r>
          </w:p>
        </w:tc>
      </w:tr>
      <w:tr>
        <w:tc>
          <w:tcPr>
            <w:tcW w:type="dxa" w:w="403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Safety</w:t>
            </w:r>
          </w:p>
          <w:p>
            <w:pPr>
              <w:spacing w:after="20"/>
            </w:pPr>
            <w:r>
              <w:rPr>
                <w:sz w:val="16"/>
              </w:rPr>
              <w:t>(LTIFR / TRIFR)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LTIFR = lost-time injuries × 1 000 000 ÷ hours worked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6"/>
              </w:rPr>
              <w:t>Lost-time injuries; total hours worked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6"/>
              </w:rPr>
              <w:t>Injury rate per million hours worked</w:t>
            </w:r>
          </w:p>
        </w:tc>
        <w:tc>
          <w:tcPr>
            <w:tcW w:type="dxa" w:w="3773"/>
          </w:tcPr>
          <w:p>
            <w:pPr>
              <w:spacing w:after="20"/>
            </w:pPr>
            <w:r/>
            <w:r>
              <w:rPr>
                <w:sz w:val="16"/>
              </w:rPr>
              <w:t>Deep-level mining is high-risk and a serious incident could halt a mine and threaten going concern, and it stops the cost KPI rewarding cuts to safety spend.</w:t>
            </w:r>
          </w:p>
        </w:tc>
      </w:tr>
      <w:tr>
        <w:tc>
          <w:tcPr>
            <w:tcW w:type="dxa" w:w="403"/>
          </w:tcPr>
          <w:p>
            <w:pPr>
              <w:spacing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GHG emissions (Scope 1 &amp; 2) vs roadmap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Reduction % = (baseline − current) ÷ baseline × 100;  Intensity = tCO2e ÷ carats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6"/>
              </w:rPr>
              <w:t>Scope 1 + 2 emissions (tCO2e); baseline; carats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6"/>
              </w:rPr>
              <w:t>Total emissions, % progress to target, carbon per carat</w:t>
            </w:r>
          </w:p>
        </w:tc>
        <w:tc>
          <w:tcPr>
            <w:tcW w:type="dxa" w:w="3773"/>
          </w:tcPr>
          <w:p>
            <w:pPr>
              <w:spacing w:after="20"/>
            </w:pPr>
            <w:r/>
            <w:r>
              <w:rPr>
                <w:sz w:val="16"/>
              </w:rPr>
              <w:t>It tracks progress against Diamante’s own 35–40% target and manages the carbon-tax and transition risk, replacing a rating with a real outcome.</w:t>
            </w:r>
          </w:p>
        </w:tc>
      </w:tr>
      <w:tr>
        <w:tc>
          <w:tcPr>
            <w:tcW w:type="dxa" w:w="403"/>
          </w:tcPr>
          <w:p>
            <w:pPr>
              <w:spacing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Water recycled / re-used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Recycled % = recycled water ÷ total water × 100;  Intensity = water ÷ carats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6"/>
              </w:rPr>
              <w:t>Recycled water; total water; carats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6"/>
              </w:rPr>
              <w:t>% of water reused, and water per carat</w:t>
            </w:r>
          </w:p>
        </w:tc>
        <w:tc>
          <w:tcPr>
            <w:tcW w:type="dxa" w:w="3773"/>
          </w:tcPr>
          <w:p>
            <w:pPr>
              <w:spacing w:after="20"/>
            </w:pPr>
            <w:r/>
            <w:r>
              <w:rPr>
                <w:sz w:val="16"/>
              </w:rPr>
              <w:t>Diamante mines in water-scarce areas and lists restricted water as a key risk, so water efficiency protects production and the licence to operate.</w:t>
            </w:r>
          </w:p>
        </w:tc>
      </w:tr>
      <w:tr>
        <w:tc>
          <w:tcPr>
            <w:tcW w:type="dxa" w:w="403"/>
          </w:tcPr>
          <w:p>
            <w:pPr>
              <w:spacing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Tailings safety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No formula — audits passed and incident count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6"/>
              </w:rPr>
              <w:t>Tailings-facility audit results; number of incidents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6"/>
              </w:rPr>
              <w:t>Whether facilities are compliant, and incident count</w:t>
            </w:r>
          </w:p>
        </w:tc>
        <w:tc>
          <w:tcPr>
            <w:tcW w:type="dxa" w:w="3773"/>
          </w:tcPr>
          <w:p>
            <w:pPr>
              <w:spacing w:after="20"/>
            </w:pPr>
            <w:r/>
            <w:r>
              <w:rPr>
                <w:sz w:val="16"/>
              </w:rPr>
              <w:t>Tailings failure is a stated risk that could cause deaths, fines and a production stoppage, so it directly protects going concern.</w:t>
            </w:r>
          </w:p>
        </w:tc>
      </w:tr>
      <w:tr>
        <w:tc>
          <w:tcPr>
            <w:tcW w:type="dxa" w:w="403"/>
          </w:tcPr>
          <w:p>
            <w:pPr>
              <w:spacing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Rehabilitation of land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Rehabilitated % = rehabilitated ÷ disturbed area × 100;  Provision adequacy = provision ÷ closure cost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6"/>
              </w:rPr>
              <w:t>Disturbed and rehabilitated land; closure cost; provision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6"/>
              </w:rPr>
              <w:t>% of land restored, and whether the provision is adequate</w:t>
            </w:r>
          </w:p>
        </w:tc>
        <w:tc>
          <w:tcPr>
            <w:tcW w:type="dxa" w:w="3773"/>
          </w:tcPr>
          <w:p>
            <w:pPr>
              <w:spacing w:after="20"/>
            </w:pPr>
            <w:r/>
            <w:r>
              <w:rPr>
                <w:sz w:val="16"/>
              </w:rPr>
              <w:t>It underpins the IAS 37 provision, guarding against understated liabilities, fines and closure risk.</w:t>
            </w:r>
          </w:p>
        </w:tc>
      </w:tr>
      <w:tr>
        <w:tc>
          <w:tcPr>
            <w:tcW w:type="dxa" w:w="403"/>
          </w:tcPr>
          <w:p>
            <w:pPr>
              <w:spacing w:after="2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Ethical sourcing / traceability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6"/>
              </w:rPr>
              <w:t>Certified % = certified conflict-free ÷ total production × 100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6"/>
              </w:rPr>
              <w:t>Certified production; total production; mixing incidents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6"/>
              </w:rPr>
              <w:t>% certified conflict-free, and any breaches</w:t>
            </w:r>
          </w:p>
        </w:tc>
        <w:tc>
          <w:tcPr>
            <w:tcW w:type="dxa" w:w="3773"/>
          </w:tcPr>
          <w:p>
            <w:pPr>
              <w:spacing w:after="20"/>
            </w:pPr>
            <w:r/>
            <w:r>
              <w:rPr>
                <w:sz w:val="16"/>
              </w:rPr>
              <w:t>Traceability and never mixing production are central to Diamante and protect brand value and market access as customers demand certified conflict-free diamonds.</w:t>
            </w:r>
          </w:p>
        </w:tc>
      </w:tr>
    </w:tbl>
    <w:p>
      <w:pPr>
        <w:spacing w:after="80"/>
      </w:pPr>
      <w:r>
        <w:rPr>
          <w:i/>
          <w:sz w:val="17"/>
        </w:rPr>
        <w:t>Prioritise KPIs 1–3 (safety, emissions, water); pair the safety, tailings and rehabilitation measures with the cost and cash KPIs so managers cannot boost cash by cutting essential spend. Per-carat, safety and emissions figures need production and sustainability data not disclosed in the pre-release and should be requested.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