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Diamond-Industry KPI Cookbook — Plug-and-Play Template for Diamante</w:t>
      </w:r>
    </w:p>
    <w:p>
      <w:r>
        <w:rPr>
          <w:i/>
          <w:color w:val="555555"/>
          <w:sz w:val="19"/>
        </w:rPr>
        <w:t>A ready-to-use reference of the standardized KPIs that diamond companies use for performance and incentives. Each KPI shows the formula, the inputs, how to use it, the Diamante figure (or the missing input to request), a worked example from a comparable company (Petra Diamonds or Gem Diamonds), and a plain-English meaning. On the day, drop the new figures into the "Diamante now" line and then evaluate. Diamante amounts are R millions; Petra and Gem amounts are US$.</w:t>
      </w:r>
    </w:p>
    <w:p>
      <w:pPr>
        <w:spacing w:before="140" w:after="20"/>
      </w:pPr>
      <w:r>
        <w:rPr>
          <w:b/>
          <w:color w:val="1F3D6B"/>
          <w:sz w:val="22"/>
        </w:rPr>
        <w:t>How to use this on the day</w:t>
      </w:r>
    </w:p>
    <w:p>
      <w:pPr>
        <w:pStyle w:val="ListBullet"/>
        <w:spacing w:after="40"/>
      </w:pPr>
      <w:r>
        <w:rPr>
          <w:sz w:val="19"/>
        </w:rPr>
        <w:t>Find the KPI in the relevant category below.</w:t>
      </w:r>
    </w:p>
    <w:p>
      <w:pPr>
        <w:pStyle w:val="ListBullet"/>
        <w:spacing w:after="40"/>
      </w:pPr>
      <w:r>
        <w:rPr>
          <w:sz w:val="19"/>
        </w:rPr>
        <w:t>Read off the formula and the inputs it needs.</w:t>
      </w:r>
    </w:p>
    <w:p>
      <w:pPr>
        <w:pStyle w:val="ListBullet"/>
        <w:spacing w:after="40"/>
      </w:pPr>
      <w:r>
        <w:rPr>
          <w:sz w:val="19"/>
        </w:rPr>
        <w:t>Put the new numbers from the information on the day into the "Diamante now" line and calculate.</w:t>
      </w:r>
    </w:p>
    <w:p>
      <w:pPr>
        <w:pStyle w:val="ListBullet"/>
        <w:spacing w:after="40"/>
      </w:pPr>
      <w:r>
        <w:rPr>
          <w:sz w:val="19"/>
        </w:rPr>
        <w:t>Use the worked example and the "in plain terms" line to explain and then critically evaluate the result.</w:t>
      </w:r>
    </w:p>
    <w:p>
      <w:pPr>
        <w:spacing w:before="200" w:after="60"/>
        <w:shd w:val="clear" w:fill="1f3d6b"/>
        <w:ind w:left="72"/>
      </w:pPr>
      <w:r>
        <w:rPr>
          <w:b/>
          <w:color w:val="FFFFFF"/>
          <w:sz w:val="26"/>
        </w:rPr>
        <w:t>PRODUCTION &amp; OPERATING</w:t>
      </w:r>
    </w:p>
    <w:p>
      <w:pPr>
        <w:spacing w:before="140" w:after="20"/>
      </w:pPr>
      <w:r>
        <w:rPr>
          <w:b/>
          <w:color w:val="1F3D6B"/>
          <w:sz w:val="22"/>
        </w:rPr>
        <w:t>1. Carats recovered / sold</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Carats recovered (production) or carats sold (sales)</w:t>
            </w:r>
          </w:p>
          <w:p>
            <w:r>
              <w:rPr>
                <w:b/>
                <w:sz w:val="19"/>
              </w:rPr>
              <w:t xml:space="preserve">Inputs needed:  </w:t>
            </w:r>
            <w:r>
              <w:rPr>
                <w:sz w:val="19"/>
              </w:rPr>
              <w:t>Carats figure from the production/sales report</w:t>
            </w:r>
          </w:p>
        </w:tc>
      </w:tr>
    </w:tbl>
    <w:p>
      <w:pPr>
        <w:spacing w:after="40"/>
        <w:ind w:left="144"/>
      </w:pPr>
      <w:r>
        <w:rPr>
          <w:b/>
          <w:sz w:val="19"/>
        </w:rPr>
        <w:t xml:space="preserve">How to use it:  </w:t>
      </w:r>
      <w:r>
        <w:rPr>
          <w:sz w:val="19"/>
        </w:rPr>
        <w:t>It is the volume measure; combine it with price to explain revenue and with cost to get unit cost.</w:t>
      </w:r>
    </w:p>
    <w:p>
      <w:pPr>
        <w:spacing w:after="40"/>
        <w:ind w:left="144"/>
      </w:pPr>
      <w:r>
        <w:rPr>
          <w:b/>
          <w:sz w:val="19"/>
        </w:rPr>
        <w:t xml:space="preserve">Diamante now:  </w:t>
      </w:r>
      <w:r>
        <w:rPr>
          <w:color w:val="9A3B3B"/>
          <w:sz w:val="19"/>
        </w:rPr>
        <w:t>Missing input — no carat data in the pre-release; request carats recovered and carats sold per mine.</w:t>
      </w:r>
    </w:p>
    <w:p>
      <w:pPr>
        <w:spacing w:after="40"/>
        <w:ind w:left="144"/>
      </w:pPr>
      <w:r>
        <w:rPr>
          <w:b/>
          <w:sz w:val="19"/>
        </w:rPr>
        <w:t xml:space="preserve">Worked example:  </w:t>
      </w:r>
      <w:r>
        <w:rPr>
          <w:sz w:val="19"/>
        </w:rPr>
        <w:t>Petra sold 2 359 904 carats in FY2025.</w:t>
      </w:r>
    </w:p>
    <w:p>
      <w:pPr>
        <w:spacing w:after="40"/>
        <w:ind w:left="144"/>
      </w:pPr>
      <w:r>
        <w:rPr>
          <w:b/>
          <w:sz w:val="19"/>
        </w:rPr>
        <w:t xml:space="preserve">In plain terms:  </w:t>
      </w:r>
      <w:r>
        <w:rPr>
          <w:sz w:val="19"/>
        </w:rPr>
        <w:t>How many diamonds, by weight, the company dug up and sold in the year.</w:t>
      </w:r>
    </w:p>
    <w:p>
      <w:pPr>
        <w:spacing w:before="140" w:after="20"/>
      </w:pPr>
      <w:r>
        <w:rPr>
          <w:b/>
          <w:color w:val="1F3D6B"/>
          <w:sz w:val="22"/>
        </w:rPr>
        <w:t>2. Tonnes treated</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Tonnes of ore processed through the plant</w:t>
            </w:r>
          </w:p>
          <w:p>
            <w:r>
              <w:rPr>
                <w:b/>
                <w:sz w:val="19"/>
              </w:rPr>
              <w:t xml:space="preserve">Inputs needed:  </w:t>
            </w:r>
            <w:r>
              <w:rPr>
                <w:sz w:val="19"/>
              </w:rPr>
              <w:t>Tonnes treated from the operating report</w:t>
            </w:r>
          </w:p>
        </w:tc>
      </w:tr>
    </w:tbl>
    <w:p>
      <w:pPr>
        <w:spacing w:after="40"/>
        <w:ind w:left="144"/>
      </w:pPr>
      <w:r>
        <w:rPr>
          <w:b/>
          <w:sz w:val="19"/>
        </w:rPr>
        <w:t xml:space="preserve">How to use it:  </w:t>
      </w:r>
      <w:r>
        <w:rPr>
          <w:sz w:val="19"/>
        </w:rPr>
        <w:t>It is the throughput measure; combine with carats to get grade and with cost to get cost per tonne.</w:t>
      </w:r>
    </w:p>
    <w:p>
      <w:pPr>
        <w:spacing w:after="40"/>
        <w:ind w:left="144"/>
      </w:pPr>
      <w:r>
        <w:rPr>
          <w:b/>
          <w:sz w:val="19"/>
        </w:rPr>
        <w:t xml:space="preserve">Diamante now:  </w:t>
      </w:r>
      <w:r>
        <w:rPr>
          <w:color w:val="9A3B3B"/>
          <w:sz w:val="19"/>
        </w:rPr>
        <w:t>Missing input — tonnes treated is not disclosed; request it per mine.</w:t>
      </w:r>
    </w:p>
    <w:p>
      <w:pPr>
        <w:spacing w:after="40"/>
        <w:ind w:left="144"/>
      </w:pPr>
      <w:r>
        <w:rPr>
          <w:b/>
          <w:sz w:val="19"/>
        </w:rPr>
        <w:t xml:space="preserve">Worked example:  </w:t>
      </w:r>
      <w:r>
        <w:rPr>
          <w:sz w:val="19"/>
        </w:rPr>
        <w:t>Peers such as Petra report tonnes treated per mine each quarter (e.g. tens of millions of tonnes across their operations).</w:t>
      </w:r>
    </w:p>
    <w:p>
      <w:pPr>
        <w:spacing w:after="40"/>
        <w:ind w:left="144"/>
      </w:pPr>
      <w:r>
        <w:rPr>
          <w:b/>
          <w:sz w:val="19"/>
        </w:rPr>
        <w:t xml:space="preserve">In plain terms:  </w:t>
      </w:r>
      <w:r>
        <w:rPr>
          <w:sz w:val="19"/>
        </w:rPr>
        <w:t>How much rock was dug up and processed to find the diamonds.</w:t>
      </w:r>
    </w:p>
    <w:p>
      <w:pPr>
        <w:spacing w:before="140" w:after="20"/>
      </w:pPr>
      <w:r>
        <w:rPr>
          <w:b/>
          <w:color w:val="1F3D6B"/>
          <w:sz w:val="22"/>
        </w:rPr>
        <w:t>3. Grade (carats per hundred tonnes, cpht)</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Carats recovered ÷ tonnes treated × 100</w:t>
            </w:r>
          </w:p>
          <w:p>
            <w:r>
              <w:rPr>
                <w:b/>
                <w:sz w:val="19"/>
              </w:rPr>
              <w:t xml:space="preserve">Inputs needed:  </w:t>
            </w:r>
            <w:r>
              <w:rPr>
                <w:sz w:val="19"/>
              </w:rPr>
              <w:t>Carats recovered; tonnes treated</w:t>
            </w:r>
          </w:p>
        </w:tc>
      </w:tr>
    </w:tbl>
    <w:p>
      <w:pPr>
        <w:spacing w:after="40"/>
        <w:ind w:left="144"/>
      </w:pPr>
      <w:r>
        <w:rPr>
          <w:b/>
          <w:sz w:val="19"/>
        </w:rPr>
        <w:t xml:space="preserve">How to use it:  </w:t>
      </w:r>
      <w:r>
        <w:rPr>
          <w:sz w:val="19"/>
        </w:rPr>
        <w:t>A higher grade means more diamonds per tonne of rock, so it drives both revenue and unit cost.</w:t>
      </w:r>
    </w:p>
    <w:p>
      <w:pPr>
        <w:spacing w:after="40"/>
        <w:ind w:left="144"/>
      </w:pPr>
      <w:r>
        <w:rPr>
          <w:b/>
          <w:sz w:val="19"/>
        </w:rPr>
        <w:t xml:space="preserve">Diamante now:  </w:t>
      </w:r>
      <w:r>
        <w:rPr>
          <w:color w:val="9A3B3B"/>
          <w:sz w:val="19"/>
        </w:rPr>
        <w:t>Missing inputs — need both carats and tonnes; cannot calculate.</w:t>
      </w:r>
    </w:p>
    <w:p>
      <w:pPr>
        <w:spacing w:after="40"/>
        <w:ind w:left="144"/>
      </w:pPr>
      <w:r>
        <w:rPr>
          <w:b/>
          <w:sz w:val="19"/>
        </w:rPr>
        <w:t xml:space="preserve">Worked example:  </w:t>
      </w:r>
      <w:r>
        <w:rPr>
          <w:sz w:val="19"/>
        </w:rPr>
        <w:t>If a mine recovers 300 000 carats from 5 000 000 tonnes, grade = 300 000 ÷ 5 000 000 × 100 = 6 cpht.</w:t>
      </w:r>
    </w:p>
    <w:p>
      <w:pPr>
        <w:spacing w:after="40"/>
        <w:ind w:left="144"/>
      </w:pPr>
      <w:r>
        <w:rPr>
          <w:b/>
          <w:sz w:val="19"/>
        </w:rPr>
        <w:t xml:space="preserve">In plain terms:  </w:t>
      </w:r>
      <w:r>
        <w:rPr>
          <w:sz w:val="19"/>
        </w:rPr>
        <w:t>How rich the rock is — how many diamonds you get from each load of rock.</w:t>
      </w:r>
    </w:p>
    <w:p>
      <w:pPr>
        <w:spacing w:before="200" w:after="60"/>
        <w:shd w:val="clear" w:fill="1f3d6b"/>
        <w:ind w:left="72"/>
      </w:pPr>
      <w:r>
        <w:rPr>
          <w:b/>
          <w:color w:val="FFFFFF"/>
          <w:sz w:val="26"/>
        </w:rPr>
        <w:t>VALUE / PRICING</w:t>
      </w:r>
    </w:p>
    <w:p>
      <w:pPr>
        <w:spacing w:before="140" w:after="20"/>
      </w:pPr>
      <w:r>
        <w:rPr>
          <w:b/>
          <w:color w:val="1F3D6B"/>
          <w:sz w:val="22"/>
        </w:rPr>
        <w:t>4. Realised price (US$ per carat)</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Revenue ÷ carats sold</w:t>
            </w:r>
          </w:p>
          <w:p>
            <w:r>
              <w:rPr>
                <w:b/>
                <w:sz w:val="19"/>
              </w:rPr>
              <w:t xml:space="preserve">Inputs needed:  </w:t>
            </w:r>
            <w:r>
              <w:rPr>
                <w:sz w:val="19"/>
              </w:rPr>
              <w:t>Revenue; carats sold</w:t>
            </w:r>
          </w:p>
        </w:tc>
      </w:tr>
    </w:tbl>
    <w:p>
      <w:pPr>
        <w:spacing w:after="40"/>
        <w:ind w:left="144"/>
      </w:pPr>
      <w:r>
        <w:rPr>
          <w:b/>
          <w:sz w:val="19"/>
        </w:rPr>
        <w:t xml:space="preserve">How to use it:  </w:t>
      </w:r>
      <w:r>
        <w:rPr>
          <w:sz w:val="19"/>
        </w:rPr>
        <w:t>It is the key value measure; a rising price per carat means a better product mix or a stronger market.</w:t>
      </w:r>
    </w:p>
    <w:p>
      <w:pPr>
        <w:spacing w:after="40"/>
        <w:ind w:left="144"/>
      </w:pPr>
      <w:r>
        <w:rPr>
          <w:b/>
          <w:sz w:val="19"/>
        </w:rPr>
        <w:t xml:space="preserve">Diamante now:  </w:t>
      </w:r>
      <w:r>
        <w:rPr>
          <w:color w:val="9A3B3B"/>
          <w:sz w:val="19"/>
        </w:rPr>
        <w:t>Missing input — need carats sold; with revenue R1 863m this is the number one figure to request.</w:t>
      </w:r>
    </w:p>
    <w:p>
      <w:pPr>
        <w:spacing w:after="40"/>
        <w:ind w:left="144"/>
      </w:pPr>
      <w:r>
        <w:rPr>
          <w:b/>
          <w:sz w:val="19"/>
        </w:rPr>
        <w:t xml:space="preserve">Worked example:  </w:t>
      </w:r>
      <w:r>
        <w:rPr>
          <w:sz w:val="19"/>
        </w:rPr>
        <w:t>Petra: US$206m ÷ 2 359 904 = ~US$87/carat. Gem (Letšeng): ~US$1 390/carat — far higher because it mines fewer, larger, higher-value stones.</w:t>
      </w:r>
    </w:p>
    <w:p>
      <w:pPr>
        <w:spacing w:after="40"/>
        <w:ind w:left="144"/>
      </w:pPr>
      <w:r>
        <w:rPr>
          <w:b/>
          <w:sz w:val="19"/>
        </w:rPr>
        <w:t xml:space="preserve">In plain terms:  </w:t>
      </w:r>
      <w:r>
        <w:rPr>
          <w:sz w:val="19"/>
        </w:rPr>
        <w:t>The average price the company got for each diamond it sold — the heart of a value-led strategy.</w:t>
      </w:r>
    </w:p>
    <w:p>
      <w:pPr>
        <w:spacing w:before="140" w:after="20"/>
      </w:pPr>
      <w:r>
        <w:rPr>
          <w:b/>
          <w:color w:val="1F3D6B"/>
          <w:sz w:val="22"/>
        </w:rPr>
        <w:t>5. High-value diamonds as a % of production</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High-value carats ÷ total carats mined</w:t>
            </w:r>
          </w:p>
          <w:p>
            <w:r>
              <w:rPr>
                <w:b/>
                <w:sz w:val="19"/>
              </w:rPr>
              <w:t xml:space="preserve">Inputs needed:  </w:t>
            </w:r>
            <w:r>
              <w:rPr>
                <w:sz w:val="19"/>
              </w:rPr>
              <w:t>Carats above a defined value threshold; total carats</w:t>
            </w:r>
          </w:p>
        </w:tc>
      </w:tr>
    </w:tbl>
    <w:p>
      <w:pPr>
        <w:spacing w:after="40"/>
        <w:ind w:left="144"/>
      </w:pPr>
      <w:r>
        <w:rPr>
          <w:b/>
          <w:sz w:val="19"/>
        </w:rPr>
        <w:t xml:space="preserve">How to use it:  </w:t>
      </w:r>
      <w:r>
        <w:rPr>
          <w:sz w:val="19"/>
        </w:rPr>
        <w:t>It tracks whether the mix is shifting to higher-value stones, which is Diamante’s stated strategy.</w:t>
      </w:r>
    </w:p>
    <w:p>
      <w:pPr>
        <w:spacing w:after="40"/>
        <w:ind w:left="144"/>
      </w:pPr>
      <w:r>
        <w:rPr>
          <w:b/>
          <w:sz w:val="19"/>
        </w:rPr>
        <w:t xml:space="preserve">Diamante now:  </w:t>
      </w:r>
      <w:r>
        <w:rPr>
          <w:color w:val="9A3B3B"/>
          <w:sz w:val="19"/>
        </w:rPr>
        <w:t>Missing inputs — need the carat split by value band; this is Diamante’s KPI 3 but it cannot be quantified yet.</w:t>
      </w:r>
    </w:p>
    <w:p>
      <w:pPr>
        <w:spacing w:after="40"/>
        <w:ind w:left="144"/>
      </w:pPr>
      <w:r>
        <w:rPr>
          <w:b/>
          <w:sz w:val="19"/>
        </w:rPr>
        <w:t xml:space="preserve">Worked example:  </w:t>
      </w:r>
      <w:r>
        <w:rPr>
          <w:sz w:val="19"/>
        </w:rPr>
        <w:t>Gem highlights exceptional stones, e.g. a single white diamond sold for US$41 007/carat, showing the value end of the mix.</w:t>
      </w:r>
    </w:p>
    <w:p>
      <w:pPr>
        <w:spacing w:after="40"/>
        <w:ind w:left="144"/>
      </w:pPr>
      <w:r>
        <w:rPr>
          <w:b/>
          <w:sz w:val="19"/>
        </w:rPr>
        <w:t xml:space="preserve">In plain terms:  </w:t>
      </w:r>
      <w:r>
        <w:rPr>
          <w:sz w:val="19"/>
        </w:rPr>
        <w:t>What share of the diamonds mined are the valuable, big, high-quality ones rather than small cheap ones.</w:t>
      </w:r>
    </w:p>
    <w:p>
      <w:pPr>
        <w:spacing w:before="200" w:after="60"/>
        <w:shd w:val="clear" w:fill="1f3d6b"/>
        <w:ind w:left="72"/>
      </w:pPr>
      <w:r>
        <w:rPr>
          <w:b/>
          <w:color w:val="FFFFFF"/>
          <w:sz w:val="26"/>
        </w:rPr>
        <w:t>COST EFFICIENCY</w:t>
      </w:r>
    </w:p>
    <w:p>
      <w:pPr>
        <w:spacing w:before="140" w:after="20"/>
      </w:pPr>
      <w:r>
        <w:rPr>
          <w:b/>
          <w:color w:val="1F3D6B"/>
          <w:sz w:val="22"/>
        </w:rPr>
        <w:t>6. On-mine cost per tonne treated</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On-mine mining costs ÷ tonnes treated</w:t>
            </w:r>
          </w:p>
          <w:p>
            <w:r>
              <w:rPr>
                <w:b/>
                <w:sz w:val="19"/>
              </w:rPr>
              <w:t xml:space="preserve">Inputs needed:  </w:t>
            </w:r>
            <w:r>
              <w:rPr>
                <w:sz w:val="19"/>
              </w:rPr>
              <w:t>Mining costs; tonnes treated</w:t>
            </w:r>
          </w:p>
        </w:tc>
      </w:tr>
    </w:tbl>
    <w:p>
      <w:pPr>
        <w:spacing w:after="40"/>
        <w:ind w:left="144"/>
      </w:pPr>
      <w:r>
        <w:rPr>
          <w:b/>
          <w:sz w:val="19"/>
        </w:rPr>
        <w:t xml:space="preserve">How to use it:  </w:t>
      </w:r>
      <w:r>
        <w:rPr>
          <w:sz w:val="19"/>
        </w:rPr>
        <w:t>It measures efficiency of processing rock; compare to budget and prior year.</w:t>
      </w:r>
    </w:p>
    <w:p>
      <w:pPr>
        <w:spacing w:after="40"/>
        <w:ind w:left="144"/>
      </w:pPr>
      <w:r>
        <w:rPr>
          <w:b/>
          <w:sz w:val="19"/>
        </w:rPr>
        <w:t xml:space="preserve">Diamante now:  </w:t>
      </w:r>
      <w:r>
        <w:rPr>
          <w:color w:val="9A3B3B"/>
          <w:sz w:val="19"/>
        </w:rPr>
        <w:t>Missing input — need tonnes treated; mining costs are R2 295m.</w:t>
      </w:r>
    </w:p>
    <w:p>
      <w:pPr>
        <w:spacing w:after="40"/>
        <w:ind w:left="144"/>
      </w:pPr>
      <w:r>
        <w:rPr>
          <w:b/>
          <w:sz w:val="19"/>
        </w:rPr>
        <w:t xml:space="preserve">Worked example:  </w:t>
      </w:r>
      <w:r>
        <w:rPr>
          <w:sz w:val="19"/>
        </w:rPr>
        <w:t>Reported by Petra and Gem per mine; e.g. mining cost of US$150m over 30m tonnes = US$5 per tonne.</w:t>
      </w:r>
    </w:p>
    <w:p>
      <w:pPr>
        <w:spacing w:after="40"/>
        <w:ind w:left="144"/>
      </w:pPr>
      <w:r>
        <w:rPr>
          <w:b/>
          <w:sz w:val="19"/>
        </w:rPr>
        <w:t xml:space="preserve">In plain terms:  </w:t>
      </w:r>
      <w:r>
        <w:rPr>
          <w:sz w:val="19"/>
        </w:rPr>
        <w:t>What it costs to dig and process each load of rock.</w:t>
      </w:r>
    </w:p>
    <w:p>
      <w:pPr>
        <w:spacing w:before="140" w:after="20"/>
      </w:pPr>
      <w:r>
        <w:rPr>
          <w:b/>
          <w:color w:val="1F3D6B"/>
          <w:sz w:val="22"/>
        </w:rPr>
        <w:t>7. Cost per carat</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Mining costs ÷ carats recovered</w:t>
            </w:r>
          </w:p>
          <w:p>
            <w:r>
              <w:rPr>
                <w:b/>
                <w:sz w:val="19"/>
              </w:rPr>
              <w:t xml:space="preserve">Inputs needed:  </w:t>
            </w:r>
            <w:r>
              <w:rPr>
                <w:sz w:val="19"/>
              </w:rPr>
              <w:t>Mining costs; carats recovered</w:t>
            </w:r>
          </w:p>
        </w:tc>
      </w:tr>
    </w:tbl>
    <w:p>
      <w:pPr>
        <w:spacing w:after="40"/>
        <w:ind w:left="144"/>
      </w:pPr>
      <w:r>
        <w:rPr>
          <w:b/>
          <w:sz w:val="19"/>
        </w:rPr>
        <w:t xml:space="preserve">How to use it:  </w:t>
      </w:r>
      <w:r>
        <w:rPr>
          <w:sz w:val="19"/>
        </w:rPr>
        <w:t>The best cost-efficiency measure, because it separates real efficiency from simply mining more or less.</w:t>
      </w:r>
    </w:p>
    <w:p>
      <w:pPr>
        <w:spacing w:after="40"/>
        <w:ind w:left="144"/>
      </w:pPr>
      <w:r>
        <w:rPr>
          <w:b/>
          <w:sz w:val="19"/>
        </w:rPr>
        <w:t xml:space="preserve">Diamante now:  </w:t>
      </w:r>
      <w:r>
        <w:rPr>
          <w:color w:val="9A3B3B"/>
          <w:sz w:val="19"/>
        </w:rPr>
        <w:t>Missing input — need carats; Diamante’s cost KPI uses absolute cost growth instead, which is weaker.</w:t>
      </w:r>
    </w:p>
    <w:p>
      <w:pPr>
        <w:spacing w:after="40"/>
        <w:ind w:left="144"/>
      </w:pPr>
      <w:r>
        <w:rPr>
          <w:b/>
          <w:sz w:val="19"/>
        </w:rPr>
        <w:t xml:space="preserve">Worked example:  </w:t>
      </w:r>
      <w:r>
        <w:rPr>
          <w:sz w:val="19"/>
        </w:rPr>
        <w:t>Implied for Petra: (revenue US$206m − EBITDA US$27m) ÷ 2 359 904 carats ≈ US$76 cash cost per carat.</w:t>
      </w:r>
    </w:p>
    <w:p>
      <w:pPr>
        <w:spacing w:after="40"/>
        <w:ind w:left="144"/>
      </w:pPr>
      <w:r>
        <w:rPr>
          <w:b/>
          <w:sz w:val="19"/>
        </w:rPr>
        <w:t xml:space="preserve">In plain terms:  </w:t>
      </w:r>
      <w:r>
        <w:rPr>
          <w:sz w:val="19"/>
        </w:rPr>
        <w:t>What it costs the company to produce each carat of diamond.</w:t>
      </w:r>
    </w:p>
    <w:p>
      <w:pPr>
        <w:spacing w:before="200" w:after="60"/>
        <w:shd w:val="clear" w:fill="1f3d6b"/>
        <w:ind w:left="72"/>
      </w:pPr>
      <w:r>
        <w:rPr>
          <w:b/>
          <w:color w:val="FFFFFF"/>
          <w:sz w:val="26"/>
        </w:rPr>
        <w:t>PROFITABILITY</w:t>
      </w:r>
    </w:p>
    <w:p>
      <w:pPr>
        <w:spacing w:before="140" w:after="20"/>
      </w:pPr>
      <w:r>
        <w:rPr>
          <w:b/>
          <w:color w:val="1F3D6B"/>
          <w:sz w:val="22"/>
        </w:rPr>
        <w:t>8. Adjusted EBITDA &amp; EBITDA margin</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EBITDA = Operating profit + depreciation + impairments;  Margin = EBITDA ÷ revenue</w:t>
            </w:r>
          </w:p>
          <w:p>
            <w:r>
              <w:rPr>
                <w:b/>
                <w:sz w:val="19"/>
              </w:rPr>
              <w:t xml:space="preserve">Inputs needed:  </w:t>
            </w:r>
            <w:r>
              <w:rPr>
                <w:sz w:val="19"/>
              </w:rPr>
              <w:t>Operating profit/loss; depreciation; impairments; revenue</w:t>
            </w:r>
          </w:p>
        </w:tc>
      </w:tr>
    </w:tbl>
    <w:p>
      <w:pPr>
        <w:spacing w:after="40"/>
        <w:ind w:left="144"/>
      </w:pPr>
      <w:r>
        <w:rPr>
          <w:b/>
          <w:sz w:val="19"/>
        </w:rPr>
        <w:t xml:space="preserve">How to use it:  </w:t>
      </w:r>
      <w:r>
        <w:rPr>
          <w:sz w:val="19"/>
        </w:rPr>
        <w:t>EBITDA shows underlying cash earnings before non-cash charges; the margin lets you compare across companies.</w:t>
      </w:r>
    </w:p>
    <w:p>
      <w:pPr>
        <w:spacing w:after="40"/>
        <w:ind w:left="144"/>
      </w:pPr>
      <w:r>
        <w:rPr>
          <w:b/>
          <w:sz w:val="19"/>
        </w:rPr>
        <w:t xml:space="preserve">Diamante now:  </w:t>
      </w:r>
      <w:r>
        <w:rPr>
          <w:sz w:val="19"/>
        </w:rPr>
        <w:t>(1 638) + 675 + 1 170 = R207m;  margin = 207 ÷ 1 863 = 11.1% (down from 19.4%).</w:t>
      </w:r>
    </w:p>
    <w:p>
      <w:pPr>
        <w:spacing w:after="40"/>
        <w:ind w:left="144"/>
      </w:pPr>
      <w:r>
        <w:rPr>
          <w:b/>
          <w:sz w:val="19"/>
        </w:rPr>
        <w:t xml:space="preserve">Worked example:  </w:t>
      </w:r>
      <w:r>
        <w:rPr>
          <w:sz w:val="19"/>
        </w:rPr>
        <w:t>Petra US$27m, margin 13% (FY24: 23%). Gem US$3.9m, margin ~4% (FY24: US$29.7m).</w:t>
      </w:r>
    </w:p>
    <w:p>
      <w:pPr>
        <w:spacing w:after="40"/>
        <w:ind w:left="144"/>
      </w:pPr>
      <w:r>
        <w:rPr>
          <w:b/>
          <w:sz w:val="19"/>
        </w:rPr>
        <w:t xml:space="preserve">In plain terms:  </w:t>
      </w:r>
      <w:r>
        <w:rPr>
          <w:sz w:val="19"/>
        </w:rPr>
        <w:t>The cash the mines make before write-downs and depreciation — a cleaner view of trading than profit.</w:t>
      </w:r>
    </w:p>
    <w:p>
      <w:pPr>
        <w:spacing w:before="140" w:after="20"/>
      </w:pPr>
      <w:r>
        <w:rPr>
          <w:b/>
          <w:color w:val="1F3D6B"/>
          <w:sz w:val="22"/>
        </w:rPr>
        <w:t>9. Operating margin</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Operating profit ÷ revenue</w:t>
            </w:r>
          </w:p>
          <w:p>
            <w:r>
              <w:rPr>
                <w:b/>
                <w:sz w:val="19"/>
              </w:rPr>
              <w:t xml:space="preserve">Inputs needed:  </w:t>
            </w:r>
            <w:r>
              <w:rPr>
                <w:sz w:val="19"/>
              </w:rPr>
              <w:t>Operating profit/loss; revenue</w:t>
            </w:r>
          </w:p>
        </w:tc>
      </w:tr>
    </w:tbl>
    <w:p>
      <w:pPr>
        <w:spacing w:after="40"/>
        <w:ind w:left="144"/>
      </w:pPr>
      <w:r>
        <w:rPr>
          <w:b/>
          <w:sz w:val="19"/>
        </w:rPr>
        <w:t xml:space="preserve">How to use it:  </w:t>
      </w:r>
      <w:r>
        <w:rPr>
          <w:sz w:val="19"/>
        </w:rPr>
        <w:t>Shows whether core operations make money; strip out impairments for the underlying picture.</w:t>
      </w:r>
    </w:p>
    <w:p>
      <w:pPr>
        <w:spacing w:after="40"/>
        <w:ind w:left="144"/>
      </w:pPr>
      <w:r>
        <w:rPr>
          <w:b/>
          <w:sz w:val="19"/>
        </w:rPr>
        <w:t xml:space="preserve">Diamante now:  </w:t>
      </w:r>
      <w:r>
        <w:rPr>
          <w:sz w:val="19"/>
        </w:rPr>
        <w:t>(1 638) ÷ 1 863 = (87.9%);  excluding impairments = (25.1%).</w:t>
      </w:r>
    </w:p>
    <w:p>
      <w:pPr>
        <w:spacing w:after="40"/>
        <w:ind w:left="144"/>
      </w:pPr>
      <w:r>
        <w:rPr>
          <w:b/>
          <w:sz w:val="19"/>
        </w:rPr>
        <w:t xml:space="preserve">Worked example:  </w:t>
      </w:r>
      <w:r>
        <w:rPr>
          <w:sz w:val="19"/>
        </w:rPr>
        <w:t>A profitable miner is positive; Petra and Gem both turned negative in the 2025 downturn.</w:t>
      </w:r>
    </w:p>
    <w:p>
      <w:pPr>
        <w:spacing w:after="40"/>
        <w:ind w:left="144"/>
      </w:pPr>
      <w:r>
        <w:rPr>
          <w:b/>
          <w:sz w:val="19"/>
        </w:rPr>
        <w:t xml:space="preserve">In plain terms:  </w:t>
      </w:r>
      <w:r>
        <w:rPr>
          <w:sz w:val="19"/>
        </w:rPr>
        <w:t>For every R100 of sales, how much is left after running the mines — currently a big loss.</w:t>
      </w:r>
    </w:p>
    <w:p>
      <w:pPr>
        <w:spacing w:before="140" w:after="20"/>
      </w:pPr>
      <w:r>
        <w:rPr>
          <w:b/>
          <w:color w:val="1F3D6B"/>
          <w:sz w:val="22"/>
        </w:rPr>
        <w:t>10. Net profit margin</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Profit/(loss) for the year ÷ revenue</w:t>
            </w:r>
          </w:p>
          <w:p>
            <w:r>
              <w:rPr>
                <w:b/>
                <w:sz w:val="19"/>
              </w:rPr>
              <w:t xml:space="preserve">Inputs needed:  </w:t>
            </w:r>
            <w:r>
              <w:rPr>
                <w:sz w:val="19"/>
              </w:rPr>
              <w:t>Profit/loss for the year; revenue</w:t>
            </w:r>
          </w:p>
        </w:tc>
      </w:tr>
    </w:tbl>
    <w:p>
      <w:pPr>
        <w:spacing w:after="40"/>
        <w:ind w:left="144"/>
      </w:pPr>
      <w:r>
        <w:rPr>
          <w:b/>
          <w:sz w:val="19"/>
        </w:rPr>
        <w:t xml:space="preserve">How to use it:  </w:t>
      </w:r>
      <w:r>
        <w:rPr>
          <w:sz w:val="19"/>
        </w:rPr>
        <w:t>The bottom-line margin; check it for one-off items such as disposals and impairments.</w:t>
      </w:r>
    </w:p>
    <w:p>
      <w:pPr>
        <w:spacing w:after="40"/>
        <w:ind w:left="144"/>
      </w:pPr>
      <w:r>
        <w:rPr>
          <w:b/>
          <w:sz w:val="19"/>
        </w:rPr>
        <w:t xml:space="preserve">Diamante now:  </w:t>
      </w:r>
      <w:r>
        <w:rPr>
          <w:sz w:val="19"/>
        </w:rPr>
        <w:t>(1 044) ÷ 1 863 = (56.0%).</w:t>
      </w:r>
    </w:p>
    <w:p>
      <w:pPr>
        <w:spacing w:after="40"/>
        <w:ind w:left="144"/>
      </w:pPr>
      <w:r>
        <w:rPr>
          <w:b/>
          <w:sz w:val="19"/>
        </w:rPr>
        <w:t xml:space="preserve">Worked example:  </w:t>
      </w:r>
      <w:r>
        <w:rPr>
          <w:sz w:val="19"/>
        </w:rPr>
        <w:t>Petra: (US$154m) ÷ US$206m = (75%). Gem: (US$104m) ÷ US$98.4m = (106%).</w:t>
      </w:r>
    </w:p>
    <w:p>
      <w:pPr>
        <w:spacing w:after="40"/>
        <w:ind w:left="144"/>
      </w:pPr>
      <w:r>
        <w:rPr>
          <w:b/>
          <w:sz w:val="19"/>
        </w:rPr>
        <w:t xml:space="preserve">In plain terms:  </w:t>
      </w:r>
      <w:r>
        <w:rPr>
          <w:sz w:val="19"/>
        </w:rPr>
        <w:t>For every R100 of sales, the final profit or loss after everything, including tax and interest.</w:t>
      </w:r>
    </w:p>
    <w:p>
      <w:pPr>
        <w:spacing w:before="140" w:after="20"/>
      </w:pPr>
      <w:r>
        <w:rPr>
          <w:b/>
          <w:color w:val="1F3D6B"/>
          <w:sz w:val="22"/>
        </w:rPr>
        <w:t>11. Return on assets / capital employed</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Operating profit ÷ total assets (ROA)  or  ÷ (equity + net debt) (ROCE)</w:t>
            </w:r>
          </w:p>
          <w:p>
            <w:r>
              <w:rPr>
                <w:b/>
                <w:sz w:val="19"/>
              </w:rPr>
              <w:t xml:space="preserve">Inputs needed:  </w:t>
            </w:r>
            <w:r>
              <w:rPr>
                <w:sz w:val="19"/>
              </w:rPr>
              <w:t>Operating profit or loss; total assets or capital employed</w:t>
            </w:r>
          </w:p>
        </w:tc>
      </w:tr>
    </w:tbl>
    <w:p>
      <w:pPr>
        <w:spacing w:after="40"/>
        <w:ind w:left="144"/>
      </w:pPr>
      <w:r>
        <w:rPr>
          <w:b/>
          <w:sz w:val="19"/>
        </w:rPr>
        <w:t xml:space="preserve">How to use it:  </w:t>
      </w:r>
      <w:r>
        <w:rPr>
          <w:sz w:val="19"/>
        </w:rPr>
        <w:t>Shows how well the asset base is being used; compare to the cost of capital (WACC).</w:t>
      </w:r>
    </w:p>
    <w:p>
      <w:pPr>
        <w:spacing w:after="40"/>
        <w:ind w:left="144"/>
      </w:pPr>
      <w:r>
        <w:rPr>
          <w:b/>
          <w:sz w:val="19"/>
        </w:rPr>
        <w:t xml:space="preserve">Diamante now:  </w:t>
      </w:r>
      <w:r>
        <w:rPr>
          <w:sz w:val="19"/>
        </w:rPr>
        <w:t>ROA = (1 044) ÷ 4 851 = (21.5%).</w:t>
      </w:r>
    </w:p>
    <w:p>
      <w:pPr>
        <w:spacing w:after="40"/>
        <w:ind w:left="144"/>
      </w:pPr>
      <w:r>
        <w:rPr>
          <w:b/>
          <w:sz w:val="19"/>
        </w:rPr>
        <w:t xml:space="preserve">Worked example:  </w:t>
      </w:r>
      <w:r>
        <w:rPr>
          <w:sz w:val="19"/>
        </w:rPr>
        <w:t>Both peers are negative in 2025; in good years a diamond miner targets double-digit positive returns.</w:t>
      </w:r>
    </w:p>
    <w:p>
      <w:pPr>
        <w:spacing w:after="40"/>
        <w:ind w:left="144"/>
      </w:pPr>
      <w:r>
        <w:rPr>
          <w:b/>
          <w:sz w:val="19"/>
        </w:rPr>
        <w:t xml:space="preserve">In plain terms:  </w:t>
      </w:r>
      <w:r>
        <w:rPr>
          <w:sz w:val="19"/>
        </w:rPr>
        <w:t>How much profit the company makes from everything it owns — right now it is losing money on its assets.</w:t>
      </w:r>
    </w:p>
    <w:p>
      <w:pPr>
        <w:spacing w:before="200" w:after="60"/>
        <w:shd w:val="clear" w:fill="1f3d6b"/>
        <w:ind w:left="72"/>
      </w:pPr>
      <w:r>
        <w:rPr>
          <w:b/>
          <w:color w:val="FFFFFF"/>
          <w:sz w:val="26"/>
        </w:rPr>
        <w:t>CASH &amp; BALANCE SHEET</w:t>
      </w:r>
    </w:p>
    <w:p>
      <w:pPr>
        <w:spacing w:before="140" w:after="20"/>
      </w:pPr>
      <w:r>
        <w:rPr>
          <w:b/>
          <w:color w:val="1F3D6B"/>
          <w:sz w:val="22"/>
        </w:rPr>
        <w:t>12. Free cash flow (FCF)</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Cash generated from operations − sustaining capital expenditure</w:t>
            </w:r>
          </w:p>
          <w:p>
            <w:r>
              <w:rPr>
                <w:b/>
                <w:sz w:val="19"/>
              </w:rPr>
              <w:t xml:space="preserve">Inputs needed:  </w:t>
            </w:r>
            <w:r>
              <w:rPr>
                <w:sz w:val="19"/>
              </w:rPr>
              <w:t>Operating cash flow; capex (from the cash flow statement)</w:t>
            </w:r>
          </w:p>
        </w:tc>
      </w:tr>
    </w:tbl>
    <w:p>
      <w:pPr>
        <w:spacing w:after="40"/>
        <w:ind w:left="144"/>
      </w:pPr>
      <w:r>
        <w:rPr>
          <w:b/>
          <w:sz w:val="19"/>
        </w:rPr>
        <w:t xml:space="preserve">How to use it:  </w:t>
      </w:r>
      <w:r>
        <w:rPr>
          <w:sz w:val="19"/>
        </w:rPr>
        <w:t>The single most important survival measure; positive FCF pays down debt and funds the business.</w:t>
      </w:r>
    </w:p>
    <w:p>
      <w:pPr>
        <w:spacing w:after="40"/>
        <w:ind w:left="144"/>
      </w:pPr>
      <w:r>
        <w:rPr>
          <w:b/>
          <w:sz w:val="19"/>
        </w:rPr>
        <w:t xml:space="preserve">Diamante now:  </w:t>
      </w:r>
      <w:r>
        <w:rPr>
          <w:color w:val="9A3B3B"/>
          <w:sz w:val="19"/>
        </w:rPr>
        <w:t>Missing input — no cash flow statement; adjusted EBITDA of R207m is the best available proxy.</w:t>
      </w:r>
    </w:p>
    <w:p>
      <w:pPr>
        <w:spacing w:after="40"/>
        <w:ind w:left="144"/>
      </w:pPr>
      <w:r>
        <w:rPr>
          <w:b/>
          <w:sz w:val="19"/>
        </w:rPr>
        <w:t xml:space="preserve">Worked example:  </w:t>
      </w:r>
      <w:r>
        <w:rPr>
          <w:sz w:val="19"/>
        </w:rPr>
        <w:t>Peers disclose FCF directly; Petra’s weak FCF is why its net debt rose to US$261m.</w:t>
      </w:r>
    </w:p>
    <w:p>
      <w:pPr>
        <w:spacing w:after="40"/>
        <w:ind w:left="144"/>
      </w:pPr>
      <w:r>
        <w:rPr>
          <w:b/>
          <w:sz w:val="19"/>
        </w:rPr>
        <w:t xml:space="preserve">In plain terms:  </w:t>
      </w:r>
      <w:r>
        <w:rPr>
          <w:sz w:val="19"/>
        </w:rPr>
        <w:t>The actual spare cash left after running and maintaining the mines — what keeps the company alive.</w:t>
      </w:r>
    </w:p>
    <w:p>
      <w:pPr>
        <w:spacing w:before="140" w:after="20"/>
      </w:pPr>
      <w:r>
        <w:rPr>
          <w:b/>
          <w:color w:val="1F3D6B"/>
          <w:sz w:val="22"/>
        </w:rPr>
        <w:t>13. Net debt</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Total borrowings − cash</w:t>
            </w:r>
          </w:p>
          <w:p>
            <w:r>
              <w:rPr>
                <w:b/>
                <w:sz w:val="19"/>
              </w:rPr>
              <w:t xml:space="preserve">Inputs needed:  </w:t>
            </w:r>
            <w:r>
              <w:rPr>
                <w:sz w:val="19"/>
              </w:rPr>
              <w:t>Borrowings; cash</w:t>
            </w:r>
          </w:p>
        </w:tc>
      </w:tr>
    </w:tbl>
    <w:p>
      <w:pPr>
        <w:spacing w:after="40"/>
        <w:ind w:left="144"/>
      </w:pPr>
      <w:r>
        <w:rPr>
          <w:b/>
          <w:sz w:val="19"/>
        </w:rPr>
        <w:t xml:space="preserve">How to use it:  </w:t>
      </w:r>
      <w:r>
        <w:rPr>
          <w:sz w:val="19"/>
        </w:rPr>
        <w:t>Measures indebtedness; track the direction and the reduction over time.</w:t>
      </w:r>
    </w:p>
    <w:p>
      <w:pPr>
        <w:spacing w:after="40"/>
        <w:ind w:left="144"/>
      </w:pPr>
      <w:r>
        <w:rPr>
          <w:b/>
          <w:sz w:val="19"/>
        </w:rPr>
        <w:t xml:space="preserve">Diamante now:  </w:t>
      </w:r>
      <w:r>
        <w:rPr>
          <w:sz w:val="19"/>
        </w:rPr>
        <w:t>2 925 − 333 = R2 592m (up from R2 178m).</w:t>
      </w:r>
    </w:p>
    <w:p>
      <w:pPr>
        <w:spacing w:after="40"/>
        <w:ind w:left="144"/>
      </w:pPr>
      <w:r>
        <w:rPr>
          <w:b/>
          <w:sz w:val="19"/>
        </w:rPr>
        <w:t xml:space="preserve">Worked example:  </w:t>
      </w:r>
      <w:r>
        <w:rPr>
          <w:sz w:val="19"/>
        </w:rPr>
        <w:t>Petra US$261m (up from US$193m). Gem only US$20.1m — far less geared.</w:t>
      </w:r>
    </w:p>
    <w:p>
      <w:pPr>
        <w:spacing w:after="40"/>
        <w:ind w:left="144"/>
      </w:pPr>
      <w:r>
        <w:rPr>
          <w:b/>
          <w:sz w:val="19"/>
        </w:rPr>
        <w:t xml:space="preserve">In plain terms:  </w:t>
      </w:r>
      <w:r>
        <w:rPr>
          <w:sz w:val="19"/>
        </w:rPr>
        <w:t>How much the company owes after using up its cash.</w:t>
      </w:r>
    </w:p>
    <w:p>
      <w:pPr>
        <w:spacing w:before="140" w:after="20"/>
      </w:pPr>
      <w:r>
        <w:rPr>
          <w:b/>
          <w:color w:val="1F3D6B"/>
          <w:sz w:val="22"/>
        </w:rPr>
        <w:t>14. Leverage (net debt : EBITDA)</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Net debt ÷ adjusted EBITDA</w:t>
            </w:r>
          </w:p>
          <w:p>
            <w:r>
              <w:rPr>
                <w:b/>
                <w:sz w:val="19"/>
              </w:rPr>
              <w:t xml:space="preserve">Inputs needed:  </w:t>
            </w:r>
            <w:r>
              <w:rPr>
                <w:sz w:val="19"/>
              </w:rPr>
              <w:t>Net debt; adjusted EBITDA</w:t>
            </w:r>
          </w:p>
        </w:tc>
      </w:tr>
    </w:tbl>
    <w:p>
      <w:pPr>
        <w:spacing w:after="40"/>
        <w:ind w:left="144"/>
      </w:pPr>
      <w:r>
        <w:rPr>
          <w:b/>
          <w:sz w:val="19"/>
        </w:rPr>
        <w:t xml:space="preserve">How to use it:  </w:t>
      </w:r>
      <w:r>
        <w:rPr>
          <w:sz w:val="19"/>
        </w:rPr>
        <w:t>The key distress/covenant measure; above ~3x is stretched, above ~6x is severe.</w:t>
      </w:r>
    </w:p>
    <w:p>
      <w:pPr>
        <w:spacing w:after="40"/>
        <w:ind w:left="144"/>
      </w:pPr>
      <w:r>
        <w:rPr>
          <w:b/>
          <w:sz w:val="19"/>
        </w:rPr>
        <w:t xml:space="preserve">Diamante now:  </w:t>
      </w:r>
      <w:r>
        <w:rPr>
          <w:sz w:val="19"/>
        </w:rPr>
        <w:t>2 592 ÷ 207 = 12.5x — extreme.</w:t>
      </w:r>
    </w:p>
    <w:p>
      <w:pPr>
        <w:spacing w:after="40"/>
        <w:ind w:left="144"/>
      </w:pPr>
      <w:r>
        <w:rPr>
          <w:b/>
          <w:sz w:val="19"/>
        </w:rPr>
        <w:t xml:space="preserve">Worked example:  </w:t>
      </w:r>
      <w:r>
        <w:rPr>
          <w:sz w:val="19"/>
        </w:rPr>
        <w:t>Petra 9.7x (very stretched). Gem ~5.2x (20.1 ÷ 3.9).</w:t>
      </w:r>
    </w:p>
    <w:p>
      <w:pPr>
        <w:spacing w:after="40"/>
        <w:ind w:left="144"/>
      </w:pPr>
      <w:r>
        <w:rPr>
          <w:b/>
          <w:sz w:val="19"/>
        </w:rPr>
        <w:t xml:space="preserve">In plain terms:  </w:t>
      </w:r>
      <w:r>
        <w:rPr>
          <w:sz w:val="19"/>
        </w:rPr>
        <w:t>How many years of cash earnings it would take to repay the debt — Diamante’s is dangerously high.</w:t>
      </w:r>
    </w:p>
    <w:p>
      <w:pPr>
        <w:spacing w:before="140" w:after="20"/>
      </w:pPr>
      <w:r>
        <w:rPr>
          <w:b/>
          <w:color w:val="1F3D6B"/>
          <w:sz w:val="22"/>
        </w:rPr>
        <w:t>15. Gearing &amp; interest cover</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Gearing = net debt ÷ equity;  Interest cover = operating profit ÷ finance cost</w:t>
            </w:r>
          </w:p>
          <w:p>
            <w:r>
              <w:rPr>
                <w:b/>
                <w:sz w:val="19"/>
              </w:rPr>
              <w:t xml:space="preserve">Inputs needed:  </w:t>
            </w:r>
            <w:r>
              <w:rPr>
                <w:sz w:val="19"/>
              </w:rPr>
              <w:t>Net debt; equity; operating profit; finance cost</w:t>
            </w:r>
          </w:p>
        </w:tc>
      </w:tr>
    </w:tbl>
    <w:p>
      <w:pPr>
        <w:spacing w:after="40"/>
        <w:ind w:left="144"/>
      </w:pPr>
      <w:r>
        <w:rPr>
          <w:b/>
          <w:sz w:val="19"/>
        </w:rPr>
        <w:t xml:space="preserve">How to use it:  </w:t>
      </w:r>
      <w:r>
        <w:rPr>
          <w:sz w:val="19"/>
        </w:rPr>
        <w:t>Gearing shows financial risk; interest cover shows whether profits can pay the interest.</w:t>
      </w:r>
    </w:p>
    <w:p>
      <w:pPr>
        <w:spacing w:after="40"/>
        <w:ind w:left="144"/>
      </w:pPr>
      <w:r>
        <w:rPr>
          <w:b/>
          <w:sz w:val="19"/>
        </w:rPr>
        <w:t xml:space="preserve">Diamante now:  </w:t>
      </w:r>
      <w:r>
        <w:rPr>
          <w:sz w:val="19"/>
        </w:rPr>
        <w:t>Gearing = 2 592 ÷ 891 = 291%;  interest cover = none (operating loss vs R378m finance cost).</w:t>
      </w:r>
    </w:p>
    <w:p>
      <w:pPr>
        <w:spacing w:after="40"/>
        <w:ind w:left="144"/>
      </w:pPr>
      <w:r>
        <w:rPr>
          <w:b/>
          <w:sz w:val="19"/>
        </w:rPr>
        <w:t xml:space="preserve">Worked example:  </w:t>
      </w:r>
      <w:r>
        <w:rPr>
          <w:sz w:val="19"/>
        </w:rPr>
        <w:t>Peers with an operating loss also have no interest cover; a healthy miner covers interest several times over.</w:t>
      </w:r>
    </w:p>
    <w:p>
      <w:pPr>
        <w:spacing w:after="40"/>
        <w:ind w:left="144"/>
      </w:pPr>
      <w:r>
        <w:rPr>
          <w:b/>
          <w:sz w:val="19"/>
        </w:rPr>
        <w:t xml:space="preserve">In plain terms:  </w:t>
      </w:r>
      <w:r>
        <w:rPr>
          <w:sz w:val="19"/>
        </w:rPr>
        <w:t>How much of the company is funded by debt, and whether it earns enough to pay the interest — currently no.</w:t>
      </w:r>
    </w:p>
    <w:p>
      <w:pPr>
        <w:spacing w:before="200" w:after="60"/>
        <w:shd w:val="clear" w:fill="1f3d6b"/>
        <w:ind w:left="72"/>
      </w:pPr>
      <w:r>
        <w:rPr>
          <w:b/>
          <w:color w:val="FFFFFF"/>
          <w:sz w:val="26"/>
        </w:rPr>
        <w:t>WORKING CAPITAL</w:t>
      </w:r>
    </w:p>
    <w:p>
      <w:pPr>
        <w:spacing w:before="140" w:after="20"/>
      </w:pPr>
      <w:r>
        <w:rPr>
          <w:b/>
          <w:color w:val="1F3D6B"/>
          <w:sz w:val="22"/>
        </w:rPr>
        <w:t>16. Inventory / receivables / payables days</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Inventory ÷ mining costs × 365;  Receivables ÷ revenue × 365;  Payables ÷ mining costs × 365</w:t>
            </w:r>
          </w:p>
          <w:p>
            <w:r>
              <w:rPr>
                <w:b/>
                <w:sz w:val="19"/>
              </w:rPr>
              <w:t xml:space="preserve">Inputs needed:  </w:t>
            </w:r>
            <w:r>
              <w:rPr>
                <w:sz w:val="19"/>
              </w:rPr>
              <w:t>Inventory; receivables; payables; revenue; mining costs</w:t>
            </w:r>
          </w:p>
        </w:tc>
      </w:tr>
    </w:tbl>
    <w:p>
      <w:pPr>
        <w:spacing w:after="40"/>
        <w:ind w:left="144"/>
      </w:pPr>
      <w:r>
        <w:rPr>
          <w:b/>
          <w:sz w:val="19"/>
        </w:rPr>
        <w:t xml:space="preserve">How to use it:  </w:t>
      </w:r>
      <w:r>
        <w:rPr>
          <w:sz w:val="19"/>
        </w:rPr>
        <w:t>Shows how efficiently working capital is managed and where cash is tied up.</w:t>
      </w:r>
    </w:p>
    <w:p>
      <w:pPr>
        <w:spacing w:after="40"/>
        <w:ind w:left="144"/>
      </w:pPr>
      <w:r>
        <w:rPr>
          <w:b/>
          <w:sz w:val="19"/>
        </w:rPr>
        <w:t xml:space="preserve">Diamante now:  </w:t>
      </w:r>
      <w:r>
        <w:rPr>
          <w:sz w:val="19"/>
        </w:rPr>
        <w:t>Inventory 315 ÷ 2 295 × 365 = 50 days; receivables 198 ÷ 1 863 × 365 = 39 days; payables 297 ÷ 2 295 × 365 = 47 days.</w:t>
      </w:r>
    </w:p>
    <w:p>
      <w:pPr>
        <w:spacing w:after="40"/>
        <w:ind w:left="144"/>
      </w:pPr>
      <w:r>
        <w:rPr>
          <w:b/>
          <w:sz w:val="19"/>
        </w:rPr>
        <w:t xml:space="preserve">Worked example:  </w:t>
      </w:r>
      <w:r>
        <w:rPr>
          <w:sz w:val="19"/>
        </w:rPr>
        <w:t>Diamond stock can be held back deliberately when prices are weak, so inventory days should be read alongside strategy.</w:t>
      </w:r>
    </w:p>
    <w:p>
      <w:pPr>
        <w:spacing w:after="40"/>
        <w:ind w:left="144"/>
      </w:pPr>
      <w:r>
        <w:rPr>
          <w:b/>
          <w:sz w:val="19"/>
        </w:rPr>
        <w:t xml:space="preserve">In plain terms:  </w:t>
      </w:r>
      <w:r>
        <w:rPr>
          <w:sz w:val="19"/>
        </w:rPr>
        <w:t>How long cash is stuck in unsold diamonds and unpaid invoices, and how quickly the company pays suppliers.</w:t>
      </w:r>
    </w:p>
    <w:p>
      <w:pPr>
        <w:spacing w:before="200" w:after="60"/>
        <w:shd w:val="clear" w:fill="1f3d6b"/>
        <w:ind w:left="72"/>
      </w:pPr>
      <w:r>
        <w:rPr>
          <w:b/>
          <w:color w:val="FFFFFF"/>
          <w:sz w:val="26"/>
        </w:rPr>
        <w:t>SAFETY, ESG &amp; RESERVES</w:t>
      </w:r>
    </w:p>
    <w:p>
      <w:pPr>
        <w:spacing w:before="140" w:after="20"/>
      </w:pPr>
      <w:r>
        <w:rPr>
          <w:b/>
          <w:color w:val="1F3D6B"/>
          <w:sz w:val="22"/>
        </w:rPr>
        <w:t>17. Safety (LTIFR / TRIFR)</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Lost-time injuries × 1 000 000 ÷ hours worked</w:t>
            </w:r>
          </w:p>
          <w:p>
            <w:r>
              <w:rPr>
                <w:b/>
                <w:sz w:val="19"/>
              </w:rPr>
              <w:t xml:space="preserve">Inputs needed:  </w:t>
            </w:r>
            <w:r>
              <w:rPr>
                <w:sz w:val="19"/>
              </w:rPr>
              <w:t>Number of lost-time injuries; total hours worked</w:t>
            </w:r>
          </w:p>
        </w:tc>
      </w:tr>
    </w:tbl>
    <w:p>
      <w:pPr>
        <w:spacing w:after="40"/>
        <w:ind w:left="144"/>
      </w:pPr>
      <w:r>
        <w:rPr>
          <w:b/>
          <w:sz w:val="19"/>
        </w:rPr>
        <w:t xml:space="preserve">How to use it:  </w:t>
      </w:r>
      <w:r>
        <w:rPr>
          <w:sz w:val="19"/>
        </w:rPr>
        <w:t>A core non-negotiable mining KPI; a rising rate is a serious red flag and a licence-to-operate risk.</w:t>
      </w:r>
    </w:p>
    <w:p>
      <w:pPr>
        <w:spacing w:after="40"/>
        <w:ind w:left="144"/>
      </w:pPr>
      <w:r>
        <w:rPr>
          <w:b/>
          <w:sz w:val="19"/>
        </w:rPr>
        <w:t xml:space="preserve">Diamante now:  </w:t>
      </w:r>
      <w:r>
        <w:rPr>
          <w:color w:val="9A3B3B"/>
          <w:sz w:val="19"/>
        </w:rPr>
        <w:t>Missing input — no safety data disclosed; request injuries and hours worked.</w:t>
      </w:r>
    </w:p>
    <w:p>
      <w:pPr>
        <w:spacing w:after="40"/>
        <w:ind w:left="144"/>
      </w:pPr>
      <w:r>
        <w:rPr>
          <w:b/>
          <w:sz w:val="19"/>
        </w:rPr>
        <w:t xml:space="preserve">Worked example:  </w:t>
      </w:r>
      <w:r>
        <w:rPr>
          <w:sz w:val="19"/>
        </w:rPr>
        <w:t>Petra reported an uptick in its LTIFR in FY2025; miners typically target a rate below ~0.3.</w:t>
      </w:r>
    </w:p>
    <w:p>
      <w:pPr>
        <w:spacing w:after="40"/>
        <w:ind w:left="144"/>
      </w:pPr>
      <w:r>
        <w:rPr>
          <w:b/>
          <w:sz w:val="19"/>
        </w:rPr>
        <w:t xml:space="preserve">In plain terms:  </w:t>
      </w:r>
      <w:r>
        <w:rPr>
          <w:sz w:val="19"/>
        </w:rPr>
        <w:t>How many people get hurt for the amount of work done — lower is better.</w:t>
      </w:r>
    </w:p>
    <w:p>
      <w:pPr>
        <w:spacing w:before="140" w:after="20"/>
      </w:pPr>
      <w:r>
        <w:rPr>
          <w:b/>
          <w:color w:val="1F3D6B"/>
          <w:sz w:val="22"/>
        </w:rPr>
        <w:t>18. Carbon intensity vs roadmap (ESG)</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Scope 1 + 2 emissions (tonnes CO2e), and per carat;  vs the reduction target</w:t>
            </w:r>
          </w:p>
          <w:p>
            <w:r>
              <w:rPr>
                <w:b/>
                <w:sz w:val="19"/>
              </w:rPr>
              <w:t xml:space="preserve">Inputs needed:  </w:t>
            </w:r>
            <w:r>
              <w:rPr>
                <w:sz w:val="19"/>
              </w:rPr>
              <w:t>Emissions in tonnes CO2e; carats; the roadmap target</w:t>
            </w:r>
          </w:p>
        </w:tc>
      </w:tr>
    </w:tbl>
    <w:p>
      <w:pPr>
        <w:spacing w:after="40"/>
        <w:ind w:left="144"/>
      </w:pPr>
      <w:r>
        <w:rPr>
          <w:b/>
          <w:sz w:val="19"/>
        </w:rPr>
        <w:t xml:space="preserve">How to use it:  </w:t>
      </w:r>
      <w:r>
        <w:rPr>
          <w:sz w:val="19"/>
        </w:rPr>
        <w:t>Measures real environmental performance against the company’s own targets, not a reporting award.</w:t>
      </w:r>
    </w:p>
    <w:p>
      <w:pPr>
        <w:spacing w:after="40"/>
        <w:ind w:left="144"/>
      </w:pPr>
      <w:r>
        <w:rPr>
          <w:b/>
          <w:sz w:val="19"/>
        </w:rPr>
        <w:t xml:space="preserve">Diamante now:  </w:t>
      </w:r>
      <w:r>
        <w:rPr>
          <w:color w:val="9A3B3B"/>
          <w:sz w:val="19"/>
        </w:rPr>
        <w:t>Roadmap targets a 35–40% cut in Scope 1 and 2 by 2030, but actual emissions are not disclosed; request them.</w:t>
      </w:r>
    </w:p>
    <w:p>
      <w:pPr>
        <w:spacing w:after="40"/>
        <w:ind w:left="144"/>
      </w:pPr>
      <w:r>
        <w:rPr>
          <w:b/>
          <w:sz w:val="19"/>
        </w:rPr>
        <w:t xml:space="preserve">Worked example:  </w:t>
      </w:r>
      <w:r>
        <w:rPr>
          <w:sz w:val="19"/>
        </w:rPr>
        <w:t>Listed peers publish Scope 1, 2 and 3 emissions and progress against net-zero pathways.</w:t>
      </w:r>
    </w:p>
    <w:p>
      <w:pPr>
        <w:spacing w:after="40"/>
        <w:ind w:left="144"/>
      </w:pPr>
      <w:r>
        <w:rPr>
          <w:b/>
          <w:sz w:val="19"/>
        </w:rPr>
        <w:t xml:space="preserve">In plain terms:  </w:t>
      </w:r>
      <w:r>
        <w:rPr>
          <w:sz w:val="19"/>
        </w:rPr>
        <w:t>How much pollution the company produces, and whether it is actually cutting it as promised.</w:t>
      </w:r>
    </w:p>
    <w:p>
      <w:pPr>
        <w:spacing w:before="140" w:after="20"/>
      </w:pPr>
      <w:r>
        <w:rPr>
          <w:b/>
          <w:color w:val="1F3D6B"/>
          <w:sz w:val="22"/>
        </w:rPr>
        <w:t>19. Reserves &amp; life-of-mine</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Reserves ÷ annual production = years of life; reserve replacement = reserves added ÷ reserves mined</w:t>
            </w:r>
          </w:p>
          <w:p>
            <w:r>
              <w:rPr>
                <w:b/>
                <w:sz w:val="19"/>
              </w:rPr>
              <w:t xml:space="preserve">Inputs needed:  </w:t>
            </w:r>
            <w:r>
              <w:rPr>
                <w:sz w:val="19"/>
              </w:rPr>
              <w:t>Reserves (carats); annual production; reserves added</w:t>
            </w:r>
          </w:p>
        </w:tc>
      </w:tr>
    </w:tbl>
    <w:p>
      <w:pPr>
        <w:spacing w:after="40"/>
        <w:ind w:left="144"/>
      </w:pPr>
      <w:r>
        <w:rPr>
          <w:b/>
          <w:sz w:val="19"/>
        </w:rPr>
        <w:t xml:space="preserve">How to use it:  </w:t>
      </w:r>
      <w:r>
        <w:rPr>
          <w:sz w:val="19"/>
        </w:rPr>
        <w:t>Shows how long the mines can keep producing — the board has flagged "life of mines" as a key focus.</w:t>
      </w:r>
    </w:p>
    <w:p>
      <w:pPr>
        <w:spacing w:after="40"/>
        <w:ind w:left="144"/>
      </w:pPr>
      <w:r>
        <w:rPr>
          <w:b/>
          <w:sz w:val="19"/>
        </w:rPr>
        <w:t xml:space="preserve">Diamante now:  </w:t>
      </w:r>
      <w:r>
        <w:rPr>
          <w:color w:val="9A3B3B"/>
          <w:sz w:val="19"/>
        </w:rPr>
        <w:t>Missing input — reserves and production not disclosed; request the reserve statement per mine.</w:t>
      </w:r>
    </w:p>
    <w:p>
      <w:pPr>
        <w:spacing w:after="40"/>
        <w:ind w:left="144"/>
      </w:pPr>
      <w:r>
        <w:rPr>
          <w:b/>
          <w:sz w:val="19"/>
        </w:rPr>
        <w:t xml:space="preserve">Worked example:  </w:t>
      </w:r>
      <w:r>
        <w:rPr>
          <w:sz w:val="19"/>
        </w:rPr>
        <w:t>Every listed miner publishes reserves and life-of-mine; it underpins the whole valuation.</w:t>
      </w:r>
    </w:p>
    <w:p>
      <w:pPr>
        <w:spacing w:after="40"/>
        <w:ind w:left="144"/>
      </w:pPr>
      <w:r>
        <w:rPr>
          <w:b/>
          <w:sz w:val="19"/>
        </w:rPr>
        <w:t xml:space="preserve">In plain terms:  </w:t>
      </w:r>
      <w:r>
        <w:rPr>
          <w:sz w:val="19"/>
        </w:rPr>
        <w:t>How many years of diamonds are left in the ground before a mine runs out.</w:t>
      </w:r>
    </w:p>
    <w:p>
      <w:pPr>
        <w:spacing w:before="200" w:after="60"/>
        <w:shd w:val="clear" w:fill="1f3d6b"/>
        <w:ind w:left="72"/>
      </w:pPr>
      <w:r>
        <w:rPr>
          <w:b/>
          <w:color w:val="FFFFFF"/>
          <w:sz w:val="26"/>
        </w:rPr>
        <w:t>SHAREHOLDER RETURNS (LONG-TERM INCENTIVE MEASURES)</w:t>
      </w:r>
    </w:p>
    <w:p>
      <w:pPr>
        <w:spacing w:before="140" w:after="20"/>
      </w:pPr>
      <w:r>
        <w:rPr>
          <w:b/>
          <w:color w:val="1F3D6B"/>
          <w:sz w:val="22"/>
        </w:rPr>
        <w:t>20. Earnings per share (EPS)</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Profit/(loss) attributable to shareholders ÷ weighted-average shares</w:t>
            </w:r>
          </w:p>
          <w:p>
            <w:r>
              <w:rPr>
                <w:b/>
                <w:sz w:val="19"/>
              </w:rPr>
              <w:t xml:space="preserve">Inputs needed:  </w:t>
            </w:r>
            <w:r>
              <w:rPr>
                <w:sz w:val="19"/>
              </w:rPr>
              <w:t>Profit/loss; weighted-average number of shares</w:t>
            </w:r>
          </w:p>
        </w:tc>
      </w:tr>
    </w:tbl>
    <w:p>
      <w:pPr>
        <w:spacing w:after="40"/>
        <w:ind w:left="144"/>
      </w:pPr>
      <w:r>
        <w:rPr>
          <w:b/>
          <w:sz w:val="19"/>
        </w:rPr>
        <w:t xml:space="preserve">How to use it:  </w:t>
      </w:r>
      <w:r>
        <w:rPr>
          <w:sz w:val="19"/>
        </w:rPr>
        <w:t>The per-share result; the basis for most listed-company performance targets.</w:t>
      </w:r>
    </w:p>
    <w:p>
      <w:pPr>
        <w:spacing w:after="40"/>
        <w:ind w:left="144"/>
      </w:pPr>
      <w:r>
        <w:rPr>
          <w:b/>
          <w:sz w:val="19"/>
        </w:rPr>
        <w:t xml:space="preserve">Diamante now:  </w:t>
      </w:r>
      <w:r>
        <w:rPr>
          <w:color w:val="9A3B3B"/>
          <w:sz w:val="19"/>
        </w:rPr>
        <w:t>Missing input — the number of shares is not disclosed; the result would be a large negative.</w:t>
      </w:r>
    </w:p>
    <w:p>
      <w:pPr>
        <w:spacing w:after="40"/>
        <w:ind w:left="144"/>
      </w:pPr>
      <w:r>
        <w:rPr>
          <w:b/>
          <w:sz w:val="19"/>
        </w:rPr>
        <w:t xml:space="preserve">Worked example:  </w:t>
      </w:r>
      <w:r>
        <w:rPr>
          <w:sz w:val="19"/>
        </w:rPr>
        <w:t>Petra and Gem both report negative EPS in 2025 given their losses.</w:t>
      </w:r>
    </w:p>
    <w:p>
      <w:pPr>
        <w:spacing w:after="40"/>
        <w:ind w:left="144"/>
      </w:pPr>
      <w:r>
        <w:rPr>
          <w:b/>
          <w:sz w:val="19"/>
        </w:rPr>
        <w:t xml:space="preserve">In plain terms:  </w:t>
      </w:r>
      <w:r>
        <w:rPr>
          <w:sz w:val="19"/>
        </w:rPr>
        <w:t>The profit or loss for each share an investor owns.</w:t>
      </w:r>
    </w:p>
    <w:p>
      <w:pPr>
        <w:spacing w:before="140" w:after="20"/>
      </w:pPr>
      <w:r>
        <w:rPr>
          <w:b/>
          <w:color w:val="1F3D6B"/>
          <w:sz w:val="22"/>
        </w:rPr>
        <w:t>21. Total shareholder return (relative TSR)</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(Closing share price − opening price + dividends) ÷ opening price;  then rank vs peers</w:t>
            </w:r>
          </w:p>
          <w:p>
            <w:r>
              <w:rPr>
                <w:b/>
                <w:sz w:val="19"/>
              </w:rPr>
              <w:t xml:space="preserve">Inputs needed:  </w:t>
            </w:r>
            <w:r>
              <w:rPr>
                <w:sz w:val="19"/>
              </w:rPr>
              <w:t>Opening and closing share price; dividends per share; peer returns</w:t>
            </w:r>
          </w:p>
        </w:tc>
      </w:tr>
    </w:tbl>
    <w:p>
      <w:pPr>
        <w:spacing w:after="40"/>
        <w:ind w:left="144"/>
      </w:pPr>
      <w:r>
        <w:rPr>
          <w:b/>
          <w:sz w:val="19"/>
        </w:rPr>
        <w:t xml:space="preserve">How to use it:  </w:t>
      </w:r>
      <w:r>
        <w:rPr>
          <w:sz w:val="19"/>
        </w:rPr>
        <w:t>The standard long-term-incentive measure; measuring it relative to peers removes the diamond price cycle.</w:t>
      </w:r>
    </w:p>
    <w:p>
      <w:pPr>
        <w:spacing w:after="40"/>
        <w:ind w:left="144"/>
      </w:pPr>
      <w:r>
        <w:rPr>
          <w:b/>
          <w:sz w:val="19"/>
        </w:rPr>
        <w:t xml:space="preserve">Diamante now:  </w:t>
      </w:r>
      <w:r>
        <w:rPr>
          <w:color w:val="9A3B3B"/>
          <w:sz w:val="19"/>
        </w:rPr>
        <w:t>Missing input — no share price is disclosed; recommend TSR relative to Petra and Gem as the LTIP measure.</w:t>
      </w:r>
    </w:p>
    <w:p>
      <w:pPr>
        <w:spacing w:after="40"/>
        <w:ind w:left="144"/>
      </w:pPr>
      <w:r>
        <w:rPr>
          <w:b/>
          <w:sz w:val="19"/>
        </w:rPr>
        <w:t xml:space="preserve">Worked example:  </w:t>
      </w:r>
      <w:r>
        <w:rPr>
          <w:sz w:val="19"/>
        </w:rPr>
        <w:t>A miner whose shares rise 10% while peers fall 10% has strong relative TSR even in a weak market.</w:t>
      </w:r>
    </w:p>
    <w:p>
      <w:pPr>
        <w:spacing w:after="40"/>
        <w:ind w:left="144"/>
      </w:pPr>
      <w:r>
        <w:rPr>
          <w:b/>
          <w:sz w:val="19"/>
        </w:rPr>
        <w:t xml:space="preserve">In plain terms:  </w:t>
      </w:r>
      <w:r>
        <w:rPr>
          <w:sz w:val="19"/>
        </w:rPr>
        <w:t>The total return an investor earns from the shares, and whether the company beat its rivals.</w:t>
      </w:r>
    </w:p>
    <w:p>
      <w:pPr>
        <w:spacing w:before="140" w:after="20"/>
      </w:pPr>
      <w:r>
        <w:rPr>
          <w:b/>
          <w:color w:val="1F3D6B"/>
          <w:sz w:val="22"/>
        </w:rPr>
        <w:t>22. Dividend &amp; dividend cover</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sz w:val="19"/>
              </w:rPr>
              <w:t xml:space="preserve">Formula:  </w:t>
            </w:r>
            <w:r>
              <w:rPr>
                <w:sz w:val="19"/>
              </w:rPr>
              <w:t>Dividend per share;  cover = EPS ÷ dividend per share</w:t>
            </w:r>
          </w:p>
          <w:p>
            <w:r>
              <w:rPr>
                <w:b/>
                <w:sz w:val="19"/>
              </w:rPr>
              <w:t xml:space="preserve">Inputs needed:  </w:t>
            </w:r>
            <w:r>
              <w:rPr>
                <w:sz w:val="19"/>
              </w:rPr>
              <w:t>Dividend per share; EPS</w:t>
            </w:r>
          </w:p>
        </w:tc>
      </w:tr>
    </w:tbl>
    <w:p>
      <w:pPr>
        <w:spacing w:after="40"/>
        <w:ind w:left="144"/>
      </w:pPr>
      <w:r>
        <w:rPr>
          <w:b/>
          <w:sz w:val="19"/>
        </w:rPr>
        <w:t xml:space="preserve">How to use it:  </w:t>
      </w:r>
      <w:r>
        <w:rPr>
          <w:sz w:val="19"/>
        </w:rPr>
        <w:t>Shows cash returned to owners and whether it is affordable.</w:t>
      </w:r>
    </w:p>
    <w:p>
      <w:pPr>
        <w:spacing w:after="40"/>
        <w:ind w:left="144"/>
      </w:pPr>
      <w:r>
        <w:rPr>
          <w:b/>
          <w:sz w:val="19"/>
        </w:rPr>
        <w:t xml:space="preserve">Diamante now:  </w:t>
      </w:r>
      <w:r>
        <w:rPr>
          <w:sz w:val="19"/>
        </w:rPr>
        <w:t>Diamante has paid no dividends for two years, so there is nothing to cover.</w:t>
      </w:r>
    </w:p>
    <w:p>
      <w:pPr>
        <w:spacing w:after="40"/>
        <w:ind w:left="144"/>
      </w:pPr>
      <w:r>
        <w:rPr>
          <w:b/>
          <w:sz w:val="19"/>
        </w:rPr>
        <w:t xml:space="preserve">Worked example:  </w:t>
      </w:r>
      <w:r>
        <w:rPr>
          <w:sz w:val="19"/>
        </w:rPr>
        <w:t>Gem has historically paid dividends in stronger years; Petra suspended its dividend during its crisis.</w:t>
      </w:r>
    </w:p>
    <w:p>
      <w:pPr>
        <w:spacing w:after="40"/>
        <w:ind w:left="144"/>
      </w:pPr>
      <w:r>
        <w:rPr>
          <w:b/>
          <w:sz w:val="19"/>
        </w:rPr>
        <w:t xml:space="preserve">In plain terms:  </w:t>
      </w:r>
      <w:r>
        <w:rPr>
          <w:sz w:val="19"/>
        </w:rPr>
        <w:t>How much cash the company pays out to shareholders, and whether profits can afford it.</w:t>
      </w:r>
    </w:p>
    <w:p>
      <w:r>
        <w:rPr>
          <w:i/>
          <w:color w:val="555555"/>
          <w:sz w:val="17"/>
        </w:rPr>
        <w:t>Diamante figures are from the draft FY2026 pre-release. Petra Diamonds and Gem Diamonds figures are from their most recent published FY2024/FY2025 results and are approximate; verify against the latest reports before quoting exact numbers.</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