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2" w:space="2" w:color="333333"/>
        </w:pBdr>
      </w:pPr>
      <w:r>
        <w:rPr>
          <w:b/>
          <w:sz w:val="26"/>
        </w:rPr>
        <w:t>Part 2 — Trigger mind map (exam focus)</w:t>
      </w:r>
    </w:p>
    <w:p>
      <w:pPr>
        <w:jc w:val="center"/>
      </w:pPr>
      <w:r>
        <w:rPr>
          <w:color w:val="666666"/>
          <w:sz w:val="18"/>
        </w:rPr>
        <w:t>Each box = a main trigger   ·   bullets = the sub-triggers to focus on for the exam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1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2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</w:tr>
      <w:tr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3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4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</w:tr>
      <w:tr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5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6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</w:tr>
      <w:tr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7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  <w:tc>
          <w:tcPr>
            <w:tcW w:type="dxa" w:w="5112"/>
            <w:tcBorders>
              <w:top w:val="single" w:sz="8" w:space="0" w:color="6b7686"/>
              <w:left w:val="single" w:sz="8" w:space="0" w:color="6b7686"/>
              <w:bottom w:val="single" w:sz="8" w:space="0" w:color="6b7686"/>
              <w:right w:val="single" w:sz="8" w:space="0" w:color="6b7686"/>
            </w:tcBorders>
          </w:tcPr>
          <w:p>
            <w:r>
              <w:rPr>
                <w:b/>
                <w:color w:val="1F3D6B"/>
                <w:sz w:val="22"/>
              </w:rPr>
              <w:t xml:space="preserve">8 ·  </w:t>
            </w:r>
            <w:r>
              <w:rPr>
                <w:b/>
                <w:color w:val="1F3D6B"/>
                <w:sz w:val="22"/>
              </w:rPr>
              <w:t>________________________</w:t>
            </w:r>
            <w:r>
              <w:rPr>
                <w:color w:val="666666"/>
                <w:sz w:val="17"/>
              </w:rPr>
              <w:t xml:space="preserve">   ( __________ )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  <w:p>
            <w:pPr>
              <w:spacing w:after="80"/>
            </w:pPr>
            <w:r>
              <w:rPr>
                <w:sz w:val="20"/>
              </w:rPr>
              <w:t>•  ________________________________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