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D6B"/>
          <w:sz w:val="27"/>
        </w:rPr>
        <w:t>Diamante Ltd — Non-Financial KPIs Built From the IAC MAF Theory</w:t>
      </w:r>
    </w:p>
    <w:p>
      <w:pPr>
        <w:spacing w:after="80"/>
      </w:pPr>
      <w:r>
        <w:rPr>
          <w:i/>
          <w:sz w:val="18"/>
        </w:rPr>
        <w:t>The ESG / sustainability KPIs are covered in a separate document, so this note focuses on the operational, customer and people measures. It uses the MAF theory first, then applies it to Diamante.</w:t>
      </w:r>
    </w:p>
    <w:p>
      <w:pPr>
        <w:spacing w:before="200" w:after="60"/>
        <w:shd w:val="clear" w:fill="1f3d6b"/>
      </w:pPr>
      <w:r>
        <w:rPr>
          <w:b/>
          <w:color w:val="FFFFFF"/>
          <w:sz w:val="23"/>
        </w:rPr>
        <w:t>Part 1 · The MAF theory (from the IAC notes)</w:t>
      </w:r>
    </w:p>
    <w:p>
      <w:pPr>
        <w:pStyle w:val="ListBullet"/>
        <w:spacing w:after="60"/>
      </w:pPr>
      <w:r>
        <w:rPr>
          <w:sz w:val="20"/>
        </w:rPr>
        <w:t>The Balanced Scorecard says a good set of measures mixes four perspectives — Financial, Customer / market, Internal process, and Learning &amp; growth — so managers do not chase profit alone.</w:t>
      </w:r>
    </w:p>
    <w:p>
      <w:pPr>
        <w:pStyle w:val="ListBullet"/>
        <w:spacing w:after="60"/>
      </w:pPr>
      <w:r>
        <w:rPr>
          <w:sz w:val="20"/>
        </w:rPr>
        <w:t>A balanced set also mixes leading indicators, which predict future results, with lagging indicators, which report the outcome after the event.</w:t>
      </w:r>
    </w:p>
    <w:p>
      <w:pPr>
        <w:pStyle w:val="ListBullet"/>
        <w:spacing w:after="60"/>
      </w:pPr>
      <w:r>
        <w:rPr>
          <w:sz w:val="20"/>
        </w:rPr>
        <w:t>Relying on financial measures alone drives short-termism and can be gamed, so financial measures must be paired with operational and people measures.</w:t>
      </w:r>
    </w:p>
    <w:p>
      <w:pPr>
        <w:pStyle w:val="ListBullet"/>
        <w:spacing w:after="60"/>
      </w:pPr>
      <w:r>
        <w:rPr>
          <w:sz w:val="20"/>
        </w:rPr>
        <w:t>The controllability principle says a manager should only be judged on what they can control, such as cost per carat, and not on the diamond price or the exchange rate.</w:t>
      </w:r>
    </w:p>
    <w:p>
      <w:pPr>
        <w:pStyle w:val="ListBullet"/>
        <w:spacing w:after="60"/>
      </w:pPr>
      <w:r>
        <w:rPr>
          <w:sz w:val="20"/>
        </w:rPr>
        <w:t>Benchmarking gives the measure meaning, by comparing it to budget, to the prior year, and to competitors such as Petra or De Beers.</w:t>
      </w:r>
    </w:p>
    <w:p>
      <w:pPr>
        <w:pStyle w:val="ListBullet"/>
        <w:spacing w:after="60"/>
      </w:pPr>
      <w:r>
        <w:rPr>
          <w:sz w:val="20"/>
        </w:rPr>
        <w:t>A measure should also be objective and not manipulable, so it cannot be hit by dumping inventory, sterilising ore or deferring maintenance.</w:t>
      </w:r>
    </w:p>
    <w:p>
      <w:pPr>
        <w:spacing w:before="200" w:after="60"/>
        <w:shd w:val="clear" w:fill="1f3d6b"/>
      </w:pPr>
      <w:r>
        <w:rPr>
          <w:b/>
          <w:color w:val="FFFFFF"/>
          <w:sz w:val="23"/>
        </w:rPr>
        <w:t>Part 2 · Applying the theory to Diamante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Perspective</w:t>
              <w:br/>
              <w:t>(Balanced Scorecard)</w:t>
            </w:r>
          </w:p>
        </w:tc>
        <w:tc>
          <w:tcPr>
            <w:tcW w:type="dxa" w:w="1656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Non-financial KPI</w:t>
            </w:r>
          </w:p>
        </w:tc>
        <w:tc>
          <w:tcPr>
            <w:tcW w:type="dxa" w:w="1037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Leading / lagging</w:t>
            </w:r>
          </w:p>
        </w:tc>
        <w:tc>
          <w:tcPr>
            <w:tcW w:type="dxa" w:w="1123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Controllable by mgmt?</w:t>
            </w:r>
          </w:p>
        </w:tc>
        <w:tc>
          <w:tcPr>
            <w:tcW w:type="dxa" w:w="5256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Application to Diamante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Internal process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6"/>
              </w:rPr>
              <w:t>Grade recovered (carats per tonne)</w:t>
            </w:r>
          </w:p>
        </w:tc>
        <w:tc>
          <w:tcPr>
            <w:tcW w:type="dxa" w:w="1037"/>
          </w:tcPr>
          <w:p>
            <w:pPr>
              <w:spacing w:after="20"/>
            </w:pPr>
            <w:r/>
            <w:r>
              <w:rPr>
                <w:sz w:val="16"/>
              </w:rPr>
              <w:t>Leading</w:t>
            </w:r>
          </w:p>
        </w:tc>
        <w:tc>
          <w:tcPr>
            <w:tcW w:type="dxa" w:w="1123"/>
          </w:tcPr>
          <w:p>
            <w:pPr>
              <w:spacing w:after="20"/>
            </w:pPr>
            <w:r/>
            <w:r>
              <w:rPr>
                <w:sz w:val="16"/>
              </w:rPr>
              <w:t>Partly (geology fixed, plant controllable)</w:t>
            </w:r>
          </w:p>
        </w:tc>
        <w:tc>
          <w:tcPr>
            <w:tcW w:type="dxa" w:w="5256"/>
          </w:tcPr>
          <w:p>
            <w:pPr>
              <w:spacing w:after="20"/>
            </w:pPr>
            <w:r/>
            <w:r>
              <w:rPr>
                <w:sz w:val="16"/>
              </w:rPr>
              <w:t>It predicts revenue before it is earned, and a falling grade is an early warning that the resource or plant is under-performing and that value and going concern are at risk.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Internal process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6"/>
              </w:rPr>
              <w:t>Plant recovery / yield %</w:t>
            </w:r>
          </w:p>
        </w:tc>
        <w:tc>
          <w:tcPr>
            <w:tcW w:type="dxa" w:w="1037"/>
          </w:tcPr>
          <w:p>
            <w:pPr>
              <w:spacing w:after="20"/>
            </w:pPr>
            <w:r/>
            <w:r>
              <w:rPr>
                <w:sz w:val="16"/>
              </w:rPr>
              <w:t>Leading</w:t>
            </w:r>
          </w:p>
        </w:tc>
        <w:tc>
          <w:tcPr>
            <w:tcW w:type="dxa" w:w="1123"/>
          </w:tcPr>
          <w:p>
            <w:pPr>
              <w:spacing w:after="20"/>
            </w:pPr>
            <w:r/>
            <w:r>
              <w:rPr>
                <w:sz w:val="16"/>
              </w:rPr>
              <w:t>Yes</w:t>
            </w:r>
          </w:p>
        </w:tc>
        <w:tc>
          <w:tcPr>
            <w:tcW w:type="dxa" w:w="5256"/>
          </w:tcPr>
          <w:p>
            <w:pPr>
              <w:spacing w:after="20"/>
            </w:pPr>
            <w:r/>
            <w:r>
              <w:rPr>
                <w:sz w:val="16"/>
              </w:rPr>
              <w:t>It measures how well the plant turns ore into sellable diamonds, is fully within management’s control, and lifts output without new capital while Diamante is capital-constrained.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Internal process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6"/>
              </w:rPr>
              <w:t>Cost per carat (operational efficiency)</w:t>
            </w:r>
          </w:p>
        </w:tc>
        <w:tc>
          <w:tcPr>
            <w:tcW w:type="dxa" w:w="1037"/>
          </w:tcPr>
          <w:p>
            <w:pPr>
              <w:spacing w:after="20"/>
            </w:pPr>
            <w:r/>
            <w:r>
              <w:rPr>
                <w:sz w:val="16"/>
              </w:rPr>
              <w:t>Lagging</w:t>
            </w:r>
          </w:p>
        </w:tc>
        <w:tc>
          <w:tcPr>
            <w:tcW w:type="dxa" w:w="1123"/>
          </w:tcPr>
          <w:p>
            <w:pPr>
              <w:spacing w:after="20"/>
            </w:pPr>
            <w:r/>
            <w:r>
              <w:rPr>
                <w:sz w:val="16"/>
              </w:rPr>
              <w:t>Yes</w:t>
            </w:r>
          </w:p>
        </w:tc>
        <w:tc>
          <w:tcPr>
            <w:tcW w:type="dxa" w:w="5256"/>
          </w:tcPr>
          <w:p>
            <w:pPr>
              <w:spacing w:after="20"/>
            </w:pPr>
            <w:r/>
            <w:r>
              <w:rPr>
                <w:sz w:val="16"/>
              </w:rPr>
              <w:t>It is the industry’s core efficiency measure, satisfies controllability because it strips out the diamond price, and drives down the cost base causing the losses; it must be paired with a quality or safety measure so it is not gamed by cutting spend.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Internal process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6"/>
              </w:rPr>
              <w:t>Volume mined &amp; treated vs plan</w:t>
            </w:r>
          </w:p>
        </w:tc>
        <w:tc>
          <w:tcPr>
            <w:tcW w:type="dxa" w:w="1037"/>
          </w:tcPr>
          <w:p>
            <w:pPr>
              <w:spacing w:after="20"/>
            </w:pPr>
            <w:r/>
            <w:r>
              <w:rPr>
                <w:sz w:val="16"/>
              </w:rPr>
              <w:t>Lagging</w:t>
            </w:r>
          </w:p>
        </w:tc>
        <w:tc>
          <w:tcPr>
            <w:tcW w:type="dxa" w:w="1123"/>
          </w:tcPr>
          <w:p>
            <w:pPr>
              <w:spacing w:after="20"/>
            </w:pPr>
            <w:r/>
            <w:r>
              <w:rPr>
                <w:sz w:val="16"/>
              </w:rPr>
              <w:t>Yes</w:t>
            </w:r>
          </w:p>
        </w:tc>
        <w:tc>
          <w:tcPr>
            <w:tcW w:type="dxa" w:w="5256"/>
          </w:tcPr>
          <w:p>
            <w:pPr>
              <w:spacing w:after="20"/>
            </w:pPr>
            <w:r/>
            <w:r>
              <w:rPr>
                <w:sz w:val="16"/>
              </w:rPr>
              <w:t>It shows whether the mines are hitting plan, which is the earliest signal that revenue and cash are at risk given Diamante’s survival depends on running the mines.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Internal process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6"/>
              </w:rPr>
              <w:t>Safety incident rate (LTIFR / Section 54 stoppages)</w:t>
            </w:r>
          </w:p>
        </w:tc>
        <w:tc>
          <w:tcPr>
            <w:tcW w:type="dxa" w:w="1037"/>
          </w:tcPr>
          <w:p>
            <w:pPr>
              <w:spacing w:after="20"/>
            </w:pPr>
            <w:r/>
            <w:r>
              <w:rPr>
                <w:sz w:val="16"/>
              </w:rPr>
              <w:t>Leading</w:t>
            </w:r>
          </w:p>
        </w:tc>
        <w:tc>
          <w:tcPr>
            <w:tcW w:type="dxa" w:w="1123"/>
          </w:tcPr>
          <w:p>
            <w:pPr>
              <w:spacing w:after="20"/>
            </w:pPr>
            <w:r/>
            <w:r>
              <w:rPr>
                <w:sz w:val="16"/>
              </w:rPr>
              <w:t>Yes</w:t>
            </w:r>
          </w:p>
        </w:tc>
        <w:tc>
          <w:tcPr>
            <w:tcW w:type="dxa" w:w="5256"/>
          </w:tcPr>
          <w:p>
            <w:pPr>
              <w:spacing w:after="20"/>
            </w:pPr>
            <w:r/>
            <w:r>
              <w:rPr>
                <w:sz w:val="16"/>
              </w:rPr>
              <w:t>Deep-level mining is high-risk and a stoppage cuts production directly, so safety is a leading indicator of lost output and protects going concern; it also stops the cost KPI rewarding cuts to safety spend.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Customer / market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6"/>
              </w:rPr>
              <w:t>Realised US$ per carat vs the market index</w:t>
            </w:r>
          </w:p>
        </w:tc>
        <w:tc>
          <w:tcPr>
            <w:tcW w:type="dxa" w:w="1037"/>
          </w:tcPr>
          <w:p>
            <w:pPr>
              <w:spacing w:after="20"/>
            </w:pPr>
            <w:r/>
            <w:r>
              <w:rPr>
                <w:sz w:val="16"/>
              </w:rPr>
              <w:t>Lagging</w:t>
            </w:r>
          </w:p>
        </w:tc>
        <w:tc>
          <w:tcPr>
            <w:tcW w:type="dxa" w:w="1123"/>
          </w:tcPr>
          <w:p>
            <w:pPr>
              <w:spacing w:after="20"/>
            </w:pPr>
            <w:r/>
            <w:r>
              <w:rPr>
                <w:sz w:val="16"/>
              </w:rPr>
              <w:t>Partly (mix &amp; marketing controllable; price is not)</w:t>
            </w:r>
          </w:p>
        </w:tc>
        <w:tc>
          <w:tcPr>
            <w:tcW w:type="dxa" w:w="5256"/>
          </w:tcPr>
          <w:p>
            <w:pPr>
              <w:spacing w:after="20"/>
            </w:pPr>
            <w:r/>
            <w:r>
              <w:rPr>
                <w:sz w:val="16"/>
              </w:rPr>
              <w:t>Benchmarking against the index separates the uncontrollable market move from Diamante’s own sales mix and marketing, which is exactly what the controllability principle requires.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Customer / market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6"/>
              </w:rPr>
              <w:t>Sales conversion (volume sold ÷ produced)</w:t>
            </w:r>
          </w:p>
        </w:tc>
        <w:tc>
          <w:tcPr>
            <w:tcW w:type="dxa" w:w="1037"/>
          </w:tcPr>
          <w:p>
            <w:pPr>
              <w:spacing w:after="20"/>
            </w:pPr>
            <w:r/>
            <w:r>
              <w:rPr>
                <w:sz w:val="16"/>
              </w:rPr>
              <w:t>Lagging</w:t>
            </w:r>
          </w:p>
        </w:tc>
        <w:tc>
          <w:tcPr>
            <w:tcW w:type="dxa" w:w="1123"/>
          </w:tcPr>
          <w:p>
            <w:pPr>
              <w:spacing w:after="20"/>
            </w:pPr>
            <w:r/>
            <w:r>
              <w:rPr>
                <w:sz w:val="16"/>
              </w:rPr>
              <w:t>Yes</w:t>
            </w:r>
          </w:p>
        </w:tc>
        <w:tc>
          <w:tcPr>
            <w:tcW w:type="dxa" w:w="5256"/>
          </w:tcPr>
          <w:p>
            <w:pPr>
              <w:spacing w:after="20"/>
            </w:pPr>
            <w:r/>
            <w:r>
              <w:rPr>
                <w:sz w:val="16"/>
              </w:rPr>
              <w:t>Unsold stock ties up cash Diamante cannot spare, so conversion is a direct non-financial signal of the cash position and of demand for the product.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Customer / market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6"/>
              </w:rPr>
              <w:t>Customer / offtake retention</w:t>
            </w:r>
          </w:p>
        </w:tc>
        <w:tc>
          <w:tcPr>
            <w:tcW w:type="dxa" w:w="1037"/>
          </w:tcPr>
          <w:p>
            <w:pPr>
              <w:spacing w:after="20"/>
            </w:pPr>
            <w:r/>
            <w:r>
              <w:rPr>
                <w:sz w:val="16"/>
              </w:rPr>
              <w:t>Leading</w:t>
            </w:r>
          </w:p>
        </w:tc>
        <w:tc>
          <w:tcPr>
            <w:tcW w:type="dxa" w:w="1123"/>
          </w:tcPr>
          <w:p>
            <w:pPr>
              <w:spacing w:after="20"/>
            </w:pPr>
            <w:r/>
            <w:r>
              <w:rPr>
                <w:sz w:val="16"/>
              </w:rPr>
              <w:t>Yes</w:t>
            </w:r>
          </w:p>
        </w:tc>
        <w:tc>
          <w:tcPr>
            <w:tcW w:type="dxa" w:w="5256"/>
          </w:tcPr>
          <w:p>
            <w:pPr>
              <w:spacing w:after="20"/>
            </w:pPr>
            <w:r/>
            <w:r>
              <w:rPr>
                <w:sz w:val="16"/>
              </w:rPr>
              <w:t>Keeping key buyers and tenders secures future revenue, which supports the going-concern and refinancing story that management must protect.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Learning &amp; growth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6"/>
              </w:rPr>
              <w:t>Employee turnover &amp; absenteeism</w:t>
            </w:r>
          </w:p>
        </w:tc>
        <w:tc>
          <w:tcPr>
            <w:tcW w:type="dxa" w:w="1037"/>
          </w:tcPr>
          <w:p>
            <w:pPr>
              <w:spacing w:after="20"/>
            </w:pPr>
            <w:r/>
            <w:r>
              <w:rPr>
                <w:sz w:val="16"/>
              </w:rPr>
              <w:t>Leading</w:t>
            </w:r>
          </w:p>
        </w:tc>
        <w:tc>
          <w:tcPr>
            <w:tcW w:type="dxa" w:w="1123"/>
          </w:tcPr>
          <w:p>
            <w:pPr>
              <w:spacing w:after="20"/>
            </w:pPr>
            <w:r/>
            <w:r>
              <w:rPr>
                <w:sz w:val="16"/>
              </w:rPr>
              <w:t>Yes</w:t>
            </w:r>
          </w:p>
        </w:tc>
        <w:tc>
          <w:tcPr>
            <w:tcW w:type="dxa" w:w="5256"/>
          </w:tcPr>
          <w:p>
            <w:pPr>
              <w:spacing w:after="20"/>
            </w:pPr>
            <w:r/>
            <w:r>
              <w:rPr>
                <w:sz w:val="16"/>
              </w:rPr>
              <w:t>A stable, skilled workforce is needed to run deep mines safely, so rising turnover is a leading indicator of higher cost and safety risk.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Learning &amp; growth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6"/>
              </w:rPr>
              <w:t>Training hours &amp; critical roles filled</w:t>
            </w:r>
          </w:p>
        </w:tc>
        <w:tc>
          <w:tcPr>
            <w:tcW w:type="dxa" w:w="1037"/>
          </w:tcPr>
          <w:p>
            <w:pPr>
              <w:spacing w:after="20"/>
            </w:pPr>
            <w:r/>
            <w:r>
              <w:rPr>
                <w:sz w:val="16"/>
              </w:rPr>
              <w:t>Leading</w:t>
            </w:r>
          </w:p>
        </w:tc>
        <w:tc>
          <w:tcPr>
            <w:tcW w:type="dxa" w:w="1123"/>
          </w:tcPr>
          <w:p>
            <w:pPr>
              <w:spacing w:after="20"/>
            </w:pPr>
            <w:r/>
            <w:r>
              <w:rPr>
                <w:sz w:val="16"/>
              </w:rPr>
              <w:t>Yes</w:t>
            </w:r>
          </w:p>
        </w:tc>
        <w:tc>
          <w:tcPr>
            <w:tcW w:type="dxa" w:w="5256"/>
          </w:tcPr>
          <w:p>
            <w:pPr>
              <w:spacing w:after="20"/>
            </w:pPr>
            <w:r/>
            <w:r>
              <w:rPr>
                <w:sz w:val="16"/>
              </w:rPr>
              <w:t>Skills protect both safety and productivity and support transformation for the mining licence, making it a genuine leading measure of future capability.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6"/>
              </w:rPr>
              <w:t>Learning &amp; growth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sz w:val="16"/>
              </w:rPr>
              <w:t>Capital project delivery (on time / on budget)</w:t>
            </w:r>
          </w:p>
        </w:tc>
        <w:tc>
          <w:tcPr>
            <w:tcW w:type="dxa" w:w="1037"/>
          </w:tcPr>
          <w:p>
            <w:pPr>
              <w:spacing w:after="20"/>
            </w:pPr>
            <w:r/>
            <w:r>
              <w:rPr>
                <w:sz w:val="16"/>
              </w:rPr>
              <w:t>Leading</w:t>
            </w:r>
          </w:p>
        </w:tc>
        <w:tc>
          <w:tcPr>
            <w:tcW w:type="dxa" w:w="1123"/>
          </w:tcPr>
          <w:p>
            <w:pPr>
              <w:spacing w:after="20"/>
            </w:pPr>
            <w:r/>
            <w:r>
              <w:rPr>
                <w:sz w:val="16"/>
              </w:rPr>
              <w:t>Yes</w:t>
            </w:r>
          </w:p>
        </w:tc>
        <w:tc>
          <w:tcPr>
            <w:tcW w:type="dxa" w:w="5256"/>
          </w:tcPr>
          <w:p>
            <w:pPr>
              <w:spacing w:after="20"/>
            </w:pPr>
            <w:r/>
            <w:r>
              <w:rPr>
                <w:sz w:val="16"/>
              </w:rPr>
              <w:t>Delays or overruns worsen the cash crisis and the refinancing risk, so tracking milestone delivery is a leading indicator of the turnaround succeeding.</w:t>
            </w:r>
          </w:p>
        </w:tc>
      </w:tr>
    </w:tbl>
    <w:p>
      <w:pPr>
        <w:spacing w:before="200" w:after="60"/>
        <w:shd w:val="clear" w:fill="1f3d6b"/>
      </w:pPr>
      <w:r>
        <w:rPr>
          <w:b/>
          <w:color w:val="FFFFFF"/>
          <w:sz w:val="23"/>
        </w:rPr>
        <w:t>Part 3 · How management should use this set</w:t>
      </w:r>
    </w:p>
    <w:p>
      <w:pPr>
        <w:pStyle w:val="ListBullet"/>
        <w:spacing w:after="60"/>
      </w:pPr>
      <w:r>
        <w:rPr>
          <w:sz w:val="20"/>
        </w:rPr>
        <w:t>Choose a small balanced set that covers the internal-process, customer and learning-and-growth perspectives, and add the ESG measures from the separate document for the learning-and-growth / sustainability perspective.</w:t>
      </w:r>
    </w:p>
    <w:p>
      <w:pPr>
        <w:pStyle w:val="ListBullet"/>
        <w:spacing w:after="60"/>
      </w:pPr>
      <w:r>
        <w:rPr>
          <w:sz w:val="20"/>
        </w:rPr>
        <w:t>Mix leading and lagging indicators, so management gets early warning as well as the final outcome.</w:t>
      </w:r>
    </w:p>
    <w:p>
      <w:pPr>
        <w:pStyle w:val="ListBullet"/>
        <w:spacing w:after="60"/>
      </w:pPr>
      <w:r>
        <w:rPr>
          <w:sz w:val="20"/>
        </w:rPr>
        <w:t>Judge each manager only on the KPIs they control, for example a mine manager on cost per carat and safety, and the executive on the group set.</w:t>
      </w:r>
    </w:p>
    <w:p>
      <w:pPr>
        <w:pStyle w:val="ListBullet"/>
        <w:spacing w:after="60"/>
      </w:pPr>
      <w:r>
        <w:rPr>
          <w:sz w:val="20"/>
        </w:rPr>
        <w:t>Give every KPI a benchmark and a target, comparing to budget, the prior year and a competitor such as Petra, so the number has meaning.</w:t>
      </w:r>
    </w:p>
    <w:p>
      <w:pPr>
        <w:pStyle w:val="ListBullet"/>
        <w:spacing w:after="60"/>
      </w:pPr>
      <w:r>
        <w:rPr>
          <w:sz w:val="20"/>
        </w:rPr>
        <w:t>Pair any cost, cash or volume target with a safety, quality or maintenance measure, so the number cannot be gamed by cutting essential spend.</w:t>
      </w:r>
    </w:p>
    <w:p>
      <w:pPr>
        <w:spacing w:after="80"/>
      </w:pPr>
      <w:r>
        <w:rPr>
          <w:i/>
          <w:sz w:val="17"/>
        </w:rPr>
        <w:t>Several KPIs need production, safety and workforce data that Diamante does not disclose in the pre-release and that should be requested.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