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pStyle w:val="Heading1"/>
        <w:spacing w:after="6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2937"/>
          <w:rtl w:val="0"/>
        </w:rPr>
        <w:t xml:space="preserve">APC 2026 [Month] QE ([Case company]) — Pre-release Triggers</w:t>
      </w:r>
    </w:p>
    <w:p w:rsidR="00000000" w:rsidDel="00000000" w:rsidP="00000000" w:rsidRDefault="00000000" w:rsidRPr="00000000" w14:paraId="00000002">
      <w:pPr>
        <w:pStyle w:val="Heading2"/>
        <w:spacing w:after="12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1f2937"/>
          <w:sz w:val="24"/>
          <w:szCs w:val="24"/>
          <w:rtl w:val="0"/>
        </w:rPr>
        <w:t xml:space="preserve">Part 1 — Main triggers, page by page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2100"/>
        <w:gridCol w:w="6315"/>
        <w:gridCol w:w="1680"/>
        <w:tblGridChange w:id="0">
          <w:tblGrid>
            <w:gridCol w:w="705"/>
            <w:gridCol w:w="2100"/>
            <w:gridCol w:w="6315"/>
            <w:gridCol w:w="1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rtl w:val="0"/>
              </w:rPr>
              <w:t xml:space="preserve">Section /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rtl w:val="0"/>
              </w:rPr>
              <w:t xml:space="preserve">Main triggers on the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5e7e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f2937"/>
                <w:rtl w:val="0"/>
              </w:rPr>
              <w:t xml:space="preserve">Subject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  <w:r w:rsidDel="00000000" w:rsidR="00000000" w:rsidRPr="00000000">
              <w:rPr>
                <w:rFonts w:ascii="Aptos" w:cs="Aptos" w:eastAsia="Aptos" w:hAnsi="Aptos"/>
                <w:sz w:val="16"/>
                <w:szCs w:val="16"/>
                <w:rtl w:val="0"/>
              </w:rPr>
              <w:t xml:space="preserve">General notes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260.0" w:type="dxa"/>
              <w:left w:w="120.0" w:type="dxa"/>
              <w:bottom w:w="2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ptos" w:cs="Aptos" w:eastAsia="Aptos" w:hAnsi="Aptos"/>
                <w:sz w:val="16"/>
                <w:szCs w:val="16"/>
              </w:rPr>
            </w:pPr>
          </w:p>
        </w:tc>
      </w:tr>
    </w:tbl>
    <w:p w:rsidR="00000000" w:rsidDel="00000000" w:rsidP="00000000" w:rsidRDefault="00000000" w:rsidRPr="00000000" w14:paraId="000000E2">
      <w:pPr>
        <w:spacing w:before="20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>
      <w:pPr>
        <w:pStyle w:val="Heading2"/>
        <w:pageBreakBefore w:val="1"/>
        <w:spacing w:after="120" w:lineRule="auto"/>
      </w:pPr>
      <w:r>
        <w:rPr>
          <w:rFonts w:ascii="Aptos" w:cs="Aptos" w:eastAsia="Aptos" w:hAnsi="Aptos"/>
          <w:b w:val="1"/>
          <w:bCs w:val="1"/>
          <w:color w:val="1f2937"/>
          <w:sz w:val="24"/>
          <w:szCs w:val="24"/>
          <w:rtl w:val="0"/>
        </w:rPr>
        <w:t xml:space="preserve">Reference — how to fill this in (delete this page before use)</w:t>
      </w:r>
    </w:p>
    <w:p>
      <w:pPr>
        <w:spacing w:after="80" w:lineRule="auto"/>
      </w:pPr>
      <w:r>
        <w:rPr>
          <w:rFonts w:ascii="Aptos" w:cs="Aptos" w:eastAsia="Aptos" w:hAnsi="Aptos"/>
          <w:b w:val="1"/>
          <w:bCs w:val="1"/>
          <w:color w:val="1f2937"/>
          <w:sz w:val="18"/>
          <w:szCs w:val="18"/>
          <w:rtl w:val="0"/>
        </w:rPr>
        <w:t xml:space="preserve">Pg  </w:t>
      </w: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The page of the pre-release. Work front to back so nothing is skipped — every page, every attachment, every hyperlink.</w:t>
      </w:r>
    </w:p>
    <w:p>
      <w:pPr>
        <w:spacing w:after="80" w:lineRule="auto"/>
      </w:pPr>
      <w:r>
        <w:rPr>
          <w:rFonts w:ascii="Aptos" w:cs="Aptos" w:eastAsia="Aptos" w:hAnsi="Aptos"/>
          <w:b w:val="1"/>
          <w:bCs w:val="1"/>
          <w:color w:val="1f2937"/>
          <w:sz w:val="18"/>
          <w:szCs w:val="18"/>
          <w:rtl w:val="0"/>
        </w:rPr>
        <w:t xml:space="preserve">Section / document  </w:t>
      </w: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The document or slide, named the way the pre-release names it, so you can find it again in eight hours under pressure.</w:t>
      </w:r>
    </w:p>
    <w:p>
      <w:pPr>
        <w:spacing w:after="80" w:lineRule="auto"/>
      </w:pPr>
      <w:r>
        <w:rPr>
          <w:rFonts w:ascii="Aptos" w:cs="Aptos" w:eastAsia="Aptos" w:hAnsi="Aptos"/>
          <w:b w:val="1"/>
          <w:bCs w:val="1"/>
          <w:color w:val="1f2937"/>
          <w:sz w:val="18"/>
          <w:szCs w:val="18"/>
          <w:rtl w:val="0"/>
        </w:rPr>
        <w:t xml:space="preserve">Main triggers on the page  </w:t>
      </w: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The event, transaction, circumstance or issue that requires professional consideration. Not the task you think will be asked — the issue you need to understand. Include anything unfamiliar, anything ending in a question, anything anyone is uncertain about, and anything the numbers flag.</w:t>
      </w:r>
    </w:p>
    <w:p>
      <w:pPr>
        <w:spacing w:after="80" w:lineRule="auto"/>
      </w:pPr>
      <w:r>
        <w:rPr>
          <w:rFonts w:ascii="Aptos" w:cs="Aptos" w:eastAsia="Aptos" w:hAnsi="Aptos"/>
          <w:b w:val="1"/>
          <w:bCs w:val="1"/>
          <w:color w:val="1f2937"/>
          <w:sz w:val="18"/>
          <w:szCs w:val="18"/>
          <w:rtl w:val="0"/>
        </w:rPr>
        <w:t xml:space="preserve">Subject area  </w:t>
      </w: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Every discipline the trigger could touch, not just the obvious one. Unless a discipline is explicitly scoped out, it is in.</w:t>
      </w:r>
    </w:p>
    <w:p>
      <w:pPr>
        <w:spacing w:after="60" w:lineRule="auto"/>
      </w:pPr>
    </w:p>
    <w:p>
      <w:pPr>
        <w:pStyle w:val="Heading2"/>
        <w:spacing w:after="120" w:lineRule="auto"/>
      </w:pPr>
      <w:r>
        <w:rPr>
          <w:rFonts w:ascii="Aptos" w:cs="Aptos" w:eastAsia="Aptos" w:hAnsi="Aptos"/>
          <w:b w:val="1"/>
          <w:bCs w:val="1"/>
          <w:color w:val="1f2937"/>
          <w:sz w:val="24"/>
          <w:szCs w:val="24"/>
          <w:rtl w:val="0"/>
        </w:rPr>
        <w:t xml:space="preserve">Subject-area lenses — sweep every trigger through all of these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FR — which standard; initial recognition, subsequent measurement, derecognition, presentation, disclosure; deferred tax; whose perspective; what is judgement.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Tax — the specific section; its requirements, exceptions, exclusions and limitations; the effect of applying it or not; income tax, CGT, VAT, dividends tax, PAYE; which year, and the rand amount.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Audit — materiality, risk of material misstatement, responses and procedures, evidence and its reliability, reporting, independence.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FM — valuation, financing, cost of capital, cash flow, hedging.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MDMC — relevant costing, limiting factors, break-even, KPIs, budgeting, internal controls.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Strategy — strategic fit, business model, life-cycle stage, competitive position.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Governance — King V, Companies Act, board and committees, related parties, JSE requirements.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Risk — the entity's key risks, and what mitigates them.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ESG — environmental, social, climate, the six capitals, sustainability reporting and assurance.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Going concern — liquidity, covenants, refinancing, the twelve-month horizon.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Ethics — could anyone's conduct be tested here? SAICA CPC, NOCLAR, the ethics triangle.</w:t>
      </w:r>
    </w:p>
    <w:p>
      <w:pPr>
        <w:spacing w:after="60" w:lineRule="auto"/>
      </w:pPr>
    </w:p>
    <w:p>
      <w:pPr>
        <w:pStyle w:val="Heading2"/>
        <w:spacing w:after="120" w:lineRule="auto"/>
      </w:pPr>
      <w:r>
        <w:rPr>
          <w:rFonts w:ascii="Aptos" w:cs="Aptos" w:eastAsia="Aptos" w:hAnsi="Aptos"/>
          <w:b w:val="1"/>
          <w:bCs w:val="1"/>
          <w:color w:val="1f2937"/>
          <w:sz w:val="24"/>
          <w:szCs w:val="24"/>
          <w:rtl w:val="0"/>
        </w:rPr>
        <w:t xml:space="preserve">Before you close the file on Tuesday night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□  Every page of the pre-release has a row, including the slides and the financial extracts.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□  Every trigger has been ranked — how clear it is, and how many pieces of information point to it.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□  Every trigger has a one-page research summary behind it, and I have studied them, not just filed them.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□  For each trigger I have asked: what if a fact changed? What if an exception applied? What if the day adds information?</w:t>
      </w:r>
    </w:p>
    <w:p>
      <w:pPr>
        <w:spacing w:after="40" w:lineRule="auto"/>
      </w:pPr>
      <w:r>
        <w:rPr>
          <w:rFonts w:ascii="Aptos" w:cs="Aptos" w:eastAsia="Aptos" w:hAnsi="Aptos"/>
          <w:color w:val="000000"/>
          <w:sz w:val="18"/>
          <w:szCs w:val="18"/>
          <w:rtl w:val="0"/>
        </w:rPr>
        <w:t xml:space="preserve">□  I have not drafted answers to tasks I think are coming.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ptos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FmciD0HZXPRkhCvrKLVtdUS7nA==">CgMxLjA4AHIhMWR0cU9vMEVVRmtvaTVSSHN6UFIwU2N2b2JzVFFKTnFq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