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4"/>
          <w:szCs w:val="34"/>
        </w:rPr>
        <w:t xml:space="preserve">Axion — Governance, Board and Committees</w:t>
      </w:r>
    </w:p>
    <w:p>
      <w:pPr>
        <w:keepNext w:val="false"/>
        <w:spacing w:after="140" w:before="0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Document 4, pages 11 and 12  |  APC 2026 September Qualifying Exam  |  Axion Digital Infrastructure (Pty) Ltd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0"/>
      </w:tblGrid>
      <w:tr>
        <w:tc>
          <w:tcPr>
            <w:tcW w:type="dxa" w:w="152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Scope.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ownership and governance extract in Document 4, pages 11 and 12. Each trigger is set out 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factor → risk → standard and section → application to Axion → what to do or ask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Know which source binds and which guides.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Companies Act and Regulations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are law and must be complied with.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is applied on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apply and explain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basis, and Document 4 says only that Axion has adopted practices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“informed by”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King V.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SAICA Code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binds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registered member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full; for a director who is not a CA(SA), apply King V first and supplement with the fundamental principles.</w:t>
            </w:r>
          </w:p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 King V references.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King V was issued on 31 October 2025 and replaces King IV. It has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 principles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consolidated from King IV’s 17, retains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apply and explain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is effective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financial years beginning on or after 1 January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This document cites King V by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subject matter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not by principle or practice number, because the numbering could not be verified against the Code text.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Confirm the principle numbers against the King V Code before quoting them.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Contents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A.  Axion’s status — what law actually applies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2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B.  The facts in Document 4, at a glance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3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C.  Board composition and independence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4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D.  Conflicts of interest — Van de Wyk and the Investment Committee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5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E.  The chair — capacity and committee roles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7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F.  Audit and Risk Committee — Mthanda, KZL Inc and cooling off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8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G.  The committees — statutory against voluntary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10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H.  Shareholders’ agreement, nomination rights and a new investor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11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I.   Delegation, and from founder-led to institutionally backed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12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J.   The SAICA Code — Sarah Naidoo CA(SA), and you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12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K.  How to answer a governance or ethics required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14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L.  Information required on the day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14</w:t>
      </w:r>
    </w:p>
    <w:p>
      <w:pPr>
        <w:tabs>
          <w:tab w:val="right" w:pos="152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M. Sources and verification status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15</w:t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A.  Axion’s status — what law actually applies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Most of the governance analysis turns on this. Axion is a private company, so several provisions that candidates reach for do not apply to it, and one that they overlook does.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4560"/>
        <w:gridCol w:w="4560"/>
        <w:gridCol w:w="3800"/>
      </w:tblGrid>
      <w:tr>
        <w:trPr>
          <w:tblHeader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rule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Axion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Company type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private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is one whose MOI prohibits it offering securities to the public and restricts the transferability of its shares.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Axion Digital Infrastructure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(Pty) Ltd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Document 4 states “Axion remains privately held” and is “not currently listed”.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Provisions limited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public and state-owned companies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do not apply automatically — most importantly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s94 audit committees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Public interest score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Reg 26(2)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Calculated at each financial year end as the sum of: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average number of employees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during the year;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one point for every R1 million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(or part)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third-party liability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at year end;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one point for every R1 million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(or part)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turnover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during the year; 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one point for every individual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with a direct or indirect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beneficial interest in the issued securities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On the FY2026 figures elsewhere in the pre-release: roughly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300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employees,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R6 850m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of liabilities,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R2 620m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of revenue, plus the shareholders.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Indicative PIS: well above 9 000.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exact figure needs third-party liability rather than total liabilities.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Every PIS threshold in the Regulations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comfortably exceeded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This is the single most useful fact to establish early.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Reg 28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private company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must be audited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if its public interest score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350 or more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Also if it holds assets in a fiduciary capacity above R5 million, or if the score is 100 to 349 and the statements were internally compiled.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PIS far exceeds 350.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KZL Inc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is named as external auditor in Document 2.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audit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compulsory, not voluntary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Auditor independence is therefore a statutory matter, not a choice.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Social and ethics committee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s72 and Reg 43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 for every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state-owned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every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listed public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any other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with a public interest score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above 500 in any two of the previous five years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 43(4): the committee must comprise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 less than three directors or prescribed officers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at least one of whom must be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director who is not involved in day-to-day management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has not been so involved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within the previous three financial years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PIS is far above 500, and Axion has grown steadily, so the two-in-five-years test is met.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Axion has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Social, Ethics &amp; Sustainable Committee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chaired by Dr September.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This committee is a statutory requirement, not a King V choice.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Test its composition against Reg 43(4) and its functions against Reg 43(5).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Audit committee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s94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public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state-owned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must appoint an audit committee.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other company must do so only if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its MOI requires 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s94(4) sets independence requirements for members of a statutory audit committee.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Axion is a private company, so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s94 does not apply of its own force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Its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Audit &amp; Risk Committee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is therefore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King V and board-driven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committee unless the MOI or the shareholders’ agreement requires one.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 common error is to apply s94 to Axion.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Establish the MOI position first. If s94 does not apply, the s94(4) independence tests are persuasive but not binding.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Issued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31 October 2025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replacing King IV.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 principles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consolidated from King IV’s 17.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Apply and explain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 the principles are applied, and the practices adopted to give effect to them are explained.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Effective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financial years beginning on or after 1 January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early adoption encouraged.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4 says the board has adopted practices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“informed by”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King V — not that Axion applies King V in full.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Axion’s year ends 30 June, so its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first financial year beginning on or after 1 January 2026 is FY2027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(1 July 2026 to 30 June 2027).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Treat King V 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principles and recommended practices, not rules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A departure is not a breach; it is something to be explained.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King V disclosure obligation reaches Axion in FY2027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which is a concrete readiness point.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SAICA Code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Binds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registered member or associate of SAICA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full.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a person in a governance role who is not a member, apply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 first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supplement with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fundamental principles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especially objectivity, integrity and confidentiality.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Sarah Naidoo is described as CA(SA)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the Code applies to her in full, as a professional accountant in business (Part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other directors are not described as CA(SA).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You are a CA(SA)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the Code applies to you.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 not apply the Code to a director who is not a member. Apply King V, and use the fundamental principles as supporting standards of conduct.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B.  The facts in Document 4, at a glance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8"/>
        <w:gridCol w:w="3344"/>
        <w:gridCol w:w="4104"/>
        <w:gridCol w:w="4104"/>
      </w:tblGrid>
      <w:tr>
        <w:trPr>
          <w:tblHeader/>
        </w:trPr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Director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Position as stated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Independence on the face of Document 4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Committee roles</w:t>
            </w:r>
          </w:p>
        </w:tc>
      </w:tr>
      <w:tr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 Lindiwe September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Independent non-executive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Chair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Stated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Chairs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Social, Ethics &amp; Sustainable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Chairs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Remuneration &amp; Nomination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Chairs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board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Kabelo Moleke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Founder &amp;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CEO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Executive.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Also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18% shareholder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None stated.</w:t>
            </w:r>
          </w:p>
        </w:tc>
      </w:tr>
      <w:tr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Sarah Naidoo CA(SA)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CFO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Executive.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CA(SA)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the SAICA Code applies.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None stated.</w:t>
            </w:r>
          </w:p>
        </w:tc>
      </w:tr>
      <w:tr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David Low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Founder &amp;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non-executive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director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independent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a founder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7% shareholder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None stated.</w:t>
            </w:r>
          </w:p>
        </w:tc>
      </w:tr>
      <w:tr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Thandi Mthanda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Independent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non-executive director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Stated independent.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Former audit partner and CFO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of which firm, and how long ago?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Chairs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Audit &amp; Risk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Michael van de Wyk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Non-executive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director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independent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investment director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Ubuntu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35%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shareholder.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Chairs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Investment Committee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Aisha Kahn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Non-executive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director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independent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partner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Horizon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30%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shareholder.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None stated.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Count it up: seven directors — two executive, five non-executive, of whom only two are described as independent.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Document 4 claims “a balance of executive, non-executive and independent directors”. That claim is the trigger.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Ubuntu and Horizon together hold 65%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and both have board representation through the shareholders’ agreement.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founders hold a further 25%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and both sit on the board.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Document 4 names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no lead independent director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states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no committee membership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beyond the chairs, and gives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no board or committee size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.</w:t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C.  Board composition and independence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736"/>
        <w:gridCol w:w="3040"/>
        <w:gridCol w:w="4104"/>
        <w:gridCol w:w="3040"/>
      </w:tblGrid>
      <w:tr>
        <w:trPr>
          <w:tblHeader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Factor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 and section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 / information required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claim of balance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4 asserts “a balance of executive, non-executive and independent directors”.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 the face of it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only two of seven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are independent.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information memorandum overstates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governance position to a prospective investor.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composition of the governing body: an appropriate balance of knowledge, skills, experience, diversity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independence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Companies Act s76(3)(a)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 director must act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good faith and for a proper purpose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s29(2)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financial statements or reports must not be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false or misleading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a material respect.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Two independent of seven, with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65% of the shares represented on the board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by two non-independent nominees.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draft information memorandum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is a document on which an investor will rely.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Test the assertion against the actual composition before it is issued.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Obtain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board charter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independence assessment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the minutes recording it.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Independence is a conclusion, not a label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Directors described as independent may not be independent in substance.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unchallenged decisions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of a board that cannot exercise objective judgement.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independence is assessed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substantively and holistically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considering whether there is an interest, position or relationship that is likely to influence judgement unduly.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s94(4)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independence tests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persuasive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for a private company, not binding.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Van de Wyk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investment director of a 35% shareholder.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Kahn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partner of a 30% shareholder. Both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shareholder nominees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neither is independent.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founder and 7% shareholder; long association with Axion since 2011.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September and Mthanda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are the only two described as independent,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Mthanda’s status must be tested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see section F.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for the board’s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independence assessment for each director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how often it is repeated.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how long September and Mthanda have served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long tenure is itself an independence indicator.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lead independent director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4 names no lead independent director.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there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counterweight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if the chair is conflicted or unavailable,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one to lead the chair’s own evaluation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lead independent director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should be appointed where the chair is not independent, is conflicted, or where the role otherwise requires it.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Axion’s chair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described as independent, so a lead independent director is not automatically indicated.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But the chair holds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three chairs simultaneously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which raises the question of who leads the board when she is conflicted — for example on her own remuneration or evaluation.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a lead independent director has been considered and, if not, why not.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Shareholder concentration on the board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of five non-executives are nominees of shareholders holding 65% between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board advances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shareholder interests rather than the interests of the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that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minority shareholders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including the Employee &amp; Empowerment Trust — are not protected.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s76(3)(b)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 director must act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the best interests of the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not of the shareholder who nominated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s66(1)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business and affairs of the company are managed by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board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stakeholder-inclusive approach; the governing body serves the organisation.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 nominee director owes duties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to Axion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not to Ubuntu or Horizon. This is the point most often missed.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Employee &amp; Empowerment Trust holds 10%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has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board representation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named in Document 4.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nominee directors have been briefed that their duty runs to Axion.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how the Trust’s interests are represented and who exercises its vote.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against the strategy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board lacks the skills for what Axion is about to do —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R3–5bn capital programme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new funding structures and possible African expansion.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governing body should have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knowledge, skills, experience and capacity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required, and should plan its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succession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composition.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Stated skills: telecommunications and infrastructure; engineering; finance and corporate finance; technology; audit and risk; investment.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director is described as having sustainability, environmental, cyber or information technology governance expertise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although Document 7 raises sustainability and an AI pilot.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for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board skills matrix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the outcome of the last board evaluation.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D.  Conflicts of interest — Van de Wyk and the Investment Committee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The sharpest single trigger on page 11 and 12. Michael van de Wyk chairs the Investment Committee while serving as investment director of Ubuntu Infrastructure, which holds 35% of Axion.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736"/>
        <w:gridCol w:w="3040"/>
        <w:gridCol w:w="4104"/>
        <w:gridCol w:w="3040"/>
      </w:tblGrid>
      <w:tr>
        <w:trPr>
          <w:tblHeader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Factor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 and section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 / information required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Chairing the committee that decides on investments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Ubuntu’s investment interests influence Axion’s capital allocation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co-investment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or of Ubuntu taking an opportunity that belongs to Axion.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chair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controls the agenda, the information and the recommendation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the board.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governing body should govern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conflicts of interest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a member should not participate where conflicted.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committee composition and independence, and the delegation of authority.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 director with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personal financial interest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a matter must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disclose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it and, in general,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 take part in the consideration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of the matter.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s76(2)(a)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 director must not use their position or information to gain an advantage for themselves or another person, or to knowingly cause harm to the company.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s76(3)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good faith, proper purpose, best interests of the company, and the degree of care, skill and diligence of a reasonably diligent person with that director’s knowledge and experience.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Do not assume s75 applies automatically.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s75 turns on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personal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financial interest of the director, or of a person related to the director. Van de Wyk’s employer holding an interest is not by itself his personal financial interest.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Establish the facts: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does Van de Wyk hold any interest in Ubuntu, any carried interest, any incentive linked to Ubuntu’s return on Axion, or any interest in a co-investment vehicle?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If he does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s75 disclosure and recusal are engaged.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If he does 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the matter is still a conflict of interest under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is caught by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s76(2)(a)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if Axion information is used for Ubuntu’s benefit.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s76(2)(a) is the provision that bites regardless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because Van de Wyk necessarily holds Axion information that is valuable to Ubuntu.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Obtain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Investment Committee terms of reference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composition, quorum, approval limits, and whether it recommends or decides.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Obtain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conflicts register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the standing disclosures under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s75(4)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s75(5)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Ubuntu has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co-invested or may co-invest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 any project in the pipeline.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Recommend: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independent chair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for the Investment Committee, or at minimum recusal and an independent quorum whenever Ubuntu has an interest.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Both institutional nominees on the board at once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Ubuntu and Horizon, holding 65%,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align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effectively control board outcomes.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R3–5bn funding decision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is taken in the interests of the existing shareholders rather than of Axion.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s76(3)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as above, applied to each nominee.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conflicts, and the stakeholder-inclusive approach.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funding options include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investment from existing shareholders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new strategic investor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Both directly engage the interests of Ubuntu and Horizon — for example dilution, pre-emptive rights and pricing.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On those matters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both nominees are conflicted at the same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leaving only September, Mthanda, and the executives.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the board can form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independent quorum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on a funding decision.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Recommend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independent committee or independent adviser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for the funding review, and a documented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fairness assessment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of any shareholder-linked transaction.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Confidential information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Axion information reaches Ubuntu or Horizon and is used for their advantage.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s76(2)(a)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no use of position or information for the advantage of another person.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information governance and conflict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SAICA Code s114 Confidentiality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for any member; and the fundamental principle applies as a standard of conduct to directors generally.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Nominee directors ordinarily report back to the shareholder that appointed them.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That reporting is where s76(2)(a) is most likely to be breached.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there is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information-sharing protocol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with the institutional shareholders, and what it permits.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E.  The chair — capacity and committee roles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Dr Lindiwe September chairs the board, the Social, Ethics &amp; Sustainable Committee and the Remuneration &amp; Nomination Committee.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736"/>
        <w:gridCol w:w="3040"/>
        <w:gridCol w:w="4104"/>
        <w:gridCol w:w="3040"/>
      </w:tblGrid>
      <w:tr>
        <w:trPr>
          <w:tblHeader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Factor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 and section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 / information required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Three chairs held by one person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insufficient time to discharge any of the roles properly.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concentration of influence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a single director.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board’s oversight of those committees is weakened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because the person reporting to the board is the person chairing it.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governing body should ensure its members have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capacity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discharge their roles, and should consider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other commitments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delegation to committees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should not dilute the governing body’s own accountability.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s76(3)(c)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degree of care, skill and diligence reasonably expected.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Three chairs is a substantial load for one non-executive, particularly during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R3–5bn capital programme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strategic funding review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When the Social and Ethics Committee or the Remuneration Committee reports to the board,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chair of the board is reporting to herself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Dr September’s other directorships and commitments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the time she devotes to Axion.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how many other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independent non-executives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are available to take a committee chair. On the face of Document 4 the answer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which is the real constraint.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Board chair chairing Remuneration &amp; Nomination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chair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influences her own remuneration, her own re-election and the nomination of her colleagues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self-review and self-interest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conflict in the nomination function.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remuneration governance, and the composition and chairing of committees.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IV recommended practice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which the course materials use, is that the chair of the governing body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should not chair the remuneration committee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although the chair may be a member.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s66(9)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remuneration of directors for their service as directors requires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shareholder approval by special resolution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within the previous two years.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Flag this as the clearest recommended-practice departure on page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check the exact King V practice before asserting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Nomination is the more sensitive half: the chair chairing nomination means she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influences who joins the board she chairs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which is directly relevant when a new investor seeks board representation.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Confirm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King V practice on who may chair remuneration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directors’ fees have been approved by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special resolution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under s66(9), and when.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Recommend that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independent non-executive other than the board chair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chairs Remuneration &amp; Nomination, or that the chair recuses herself from her own matters.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Combining social and ethics with sustainability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statutory functions in Reg 43(5) are diluted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within a broader sustainability mandate.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 43(5)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sets out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statutory functions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of the social and ethics committee, including monitoring the company’s activities against specified instruments, and drawing matters to the board’s attention.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 43(5)(c)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committee must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to the shareholders at the annual general meeting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Axion’s committee is styled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“Social, Ethics &amp; Sustainable”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which is wider than the statutory mandate. That is permissible, but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statutory functions must still be discharged and evidenced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Obtain the committee’s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terms of reference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map them against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Reg 43(5)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Confirm that the committee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reports to shareholders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as Reg 43(5)(c) requires.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F.  Audit and Risk Committee — Mthanda, KZL Inc and cooling off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Thandi Mthanda is described as an independent non-executive director and a former audit partner and CFO. She chairs the Audit &amp; Risk Committee. KZL Inc is Axion’s external auditor (Document 2).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736"/>
        <w:gridCol w:w="3040"/>
        <w:gridCol w:w="4104"/>
        <w:gridCol w:w="3040"/>
      </w:tblGrid>
      <w:tr>
        <w:trPr>
          <w:tblHeader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Factor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 and section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 / information required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Former audit partner — of which firm?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Mthanda was a partner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KZL Inc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there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familiarity and self-review threat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KZL’s independence, and her own independence is doubtful.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she was a partner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elsewhere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the concern is much reduced.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compulsory 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is performed by a firm that is not independent.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SAICA Code Part 4A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independence for audit and review engagements.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Code s540 Long Association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the sections dealing with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former partner of the firm serving as a director of an audit 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which create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self-interest, self-review, familiarity and intimidation threats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independence assessed substantively; a former partner of the external audit firm is an independence indicator.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Auditing Profession 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registered auditor must be independent.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Document 4 does not name the firm or the date.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These are the two facts the whole analysis turns on, and neither is given.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Because the audit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compulsory under Reg 28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Axion is likely to meet the Code’s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public interest entity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definition,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stricter listed-entity independence requirements are in point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The course materials work exactly this test: a public interest score above 350 means the audit must be conducted in compliance with the same independence requirements that apply to a listed entity.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On that footing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cooling-off period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applies before a former partner may join the client’s board, and her chairing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Audit &amp; Risk Committee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the committee that oversees the auditor — is the most sensitive seat she could occupy.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which firm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which role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when did she leave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was she on the Axion engagement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she retains any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financial interest, pension or other entitlement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from the firm.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Confirm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cooling-off period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 Part 4A and whether Axion meets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definition.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If it was KZL Inc and the period has not run, the answer is that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either she should not chair Audit &amp; Risk, or KZL’s independence is compromised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Former CFO — of which company?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she was CFO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of Axion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she cannot be independent and would fail the s94(4) tests if they applied.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self-review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over statements she previously prepared.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s94(4)(a)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 member of a statutory audit committee must not be involved in the day-to-day management and must not have been a prescribed officer or full-time employee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the previous three financial years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substantive independence.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4 does not say of which company she was CFO. Read naturally it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another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which would not offend independence.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s94(4) does not bind Axion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as a private company, but it is the natural benchmark and a marker will expect it to be cited as such.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which company and over what period.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One committee for audit and risk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 oversight is crowded out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by the financial reporting and audit agenda.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a committee chaired by one person covers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financial reporting, external audit, internal audit, internal control and the full risk universe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including the AI pilot, cyber and the capital programme.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risk and compliance governance; assurance and internal control; and the delegation of authority to committees.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technology and information governance, which includes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artificial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Combining the two is common and permissible for a company of Axion’s size, and King V is applied and explained rather than complied with.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But Document 7 records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AI-enabled maintenance pilot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on which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Audit &amp; Risk Committee has requested assurance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Document 3 records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organisational capacity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as a stated constraint. The agenda is heavy.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for the committee’s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terms of reference, membership, and meeting frequency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Axion has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internal audit function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if not, how the board obtains assurance.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who provides assurance on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AI pilot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against what criteria.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G.  The committees — statutory against voluntary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3040"/>
        <w:gridCol w:w="3648"/>
        <w:gridCol w:w="3040"/>
        <w:gridCol w:w="2736"/>
      </w:tblGrid>
      <w:tr>
        <w:trPr>
          <w:tblHeader/>
        </w:trP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Committee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Source of the requirement</w:t>
            </w:r>
          </w:p>
        </w:tc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What the standard requires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Axion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Social, Ethics &amp; Sustainable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Chair: Dr September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Statutory.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s72 read with Reg 43, because the public interest score exceeds 500.</w:t>
            </w:r>
          </w:p>
        </w:tc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 43(4):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 least three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directors or prescribed officers,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 least one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 director not involved in day-to-day management and not so involved in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previous three financial years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 43(5): prescribed monitoring functions, and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to shareholders at the AGM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Exists and is chaired by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independent chair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who satisfies the non-management requirement.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Membership is not disclosed.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Confirm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three or more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members and the Reg 43(5) functions.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Audit &amp; Risk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Chair: Mthanda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statutory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s94 applies to public and state-owned companies, or where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MOI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requires it.</w:t>
            </w:r>
          </w:p>
        </w:tc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voluntary, the board sets the terms of reference.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assurance, internal control and risk governance.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s94(4) independence tests are a useful benchmark even where not binding.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Exists. Chaired by an independent non-executive whose independence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must be confirmed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section F.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Check the MOI and the shareholders’ agreement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before concluding that s94 does not apply.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Remuneration &amp; Nomination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Chair: Dr September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statutory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for a private company.</w:t>
            </w:r>
          </w:p>
        </w:tc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fair, responsible and transparent remuneration.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s66(9)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directors’ fees require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special resolution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within the previous two years.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Chaired by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board chair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which is the recommended-practice departure flagged in section E.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Confirm the King V practice and the s66(9) approval.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Investment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Chair: Van de Wyk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statutory.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board committee.</w:t>
            </w:r>
          </w:p>
        </w:tc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delegation of authority; conflicts of interest.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s75, s76(2)(a), s76(3)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Chaired by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nominee of the 35% shareholder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section D.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Terms of reference, approval limits, conflict and recusal protocol.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 mentioned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internal 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function is referred to anywhere in Document 4.</w:t>
            </w:r>
          </w:p>
        </w:tc>
        <w:tc>
          <w:tcPr>
            <w:tcW w:type="dxa" w:w="3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assurance; the governing body should have an effective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combined assurance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model and should consider the need for an internal audit function.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For a business of Axion’s scale, with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R3–5bn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programme and a stated capacity constraint, the absence is notable.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whether internal audit exists, is outsourced, or is planned. This is part of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MATURE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theme in Document 3.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H.  Shareholders’ agreement, nomination rights and a new investor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736"/>
        <w:gridCol w:w="3040"/>
        <w:gridCol w:w="4104"/>
        <w:gridCol w:w="3040"/>
      </w:tblGrid>
      <w:tr>
        <w:trPr>
          <w:tblHeader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Factor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 and section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 / information required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Nomination rights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shareholders’ agreement conflicts with the MOI or the 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in which case it is void to the extent of the inconsistency.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nominee directors act 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delegates of their appointer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s15(7)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 shareholders’ agreement must be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consistent with the Act and the MOI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any inconsistent provision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s66(4)(a)(i)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MOI may provide for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 appointment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of directors by a named person.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s66(7)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 person becomes a director only on delivering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written consent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serve.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s76(3)(b)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best interests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4 says the institutional investors have rights to nominate a director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“in terms of the shareholders’ agreement”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not in terms of the MOI.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That is the issue.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If the right is only contractual and is not reflected in the MOI, its enforceability against the company needs checking under s15(7) and s66(4).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Obtain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MOI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shareholders’ agreement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Check whether the nomination right appears in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MOI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whether the agreement is consistent with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Check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reserved matters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any veto rights, and whether they fetter the board contrary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s66(1)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 new strategic investor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dilution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of the founders and the Employee &amp; Empowerment Trust.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a further nominee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worsens the independence balance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existing shareholders and the new investor have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conflicting interests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 price.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s39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pre-emptive rights on the issue of shares by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private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unless the MOI provides otherwise.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s38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authorisation of shares;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s41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shareholder approval for issues to directors, prescribed officers and related persons, or issues of 30% or more of the voting power.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composition, and stakeholder-inclusive decision making.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3 lists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new strategic investor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as one of three funding options, so this is 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s41(3)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is directly in point if the issue represents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30% or more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of the voting power before the issue — a R3–5bn raise plausibly could.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If existing shareholders take up the issue,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s41(1)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may require a special resolution because Ubuntu and Horizon are related to directors on the board.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Model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post-issue shareholding and board composition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Check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s39 pre-emptive rights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whether they are excluded in the MOI.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Check whether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s41 shareholder approval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is triggered.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how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Trust’s 10%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is protected against dilution.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Employee &amp; Empowerment Trust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the Trust’s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governance is not addressed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who the trustees are, how they vote, and whether executives are trustees.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conflict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if a director is also a trustee.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stakeholder-inclusive approach; conflicts of interest.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if a director is a trustee and has a personal financial interest.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B-BBEE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verification implications, if relevant to the required.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Trust holds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10%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appears nowhere in the board table or the committee 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4 is silent 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who exercises the Trust’s vote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for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trust deed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the trustees, and the voting arrangements.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I.  Delegation, and from founder-led to institutionally backed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736"/>
        <w:gridCol w:w="3040"/>
        <w:gridCol w:w="4104"/>
        <w:gridCol w:w="3040"/>
      </w:tblGrid>
      <w:tr>
        <w:trPr>
          <w:tblHeader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Factor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 and section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 / information required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Delegation to the CEO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delegation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 documented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so the boundary between board and management is unclear.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over-concentration in the founder CEO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who is also an 18% shareholder.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s66(1)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board manages the business and affairs and has the authority to exercise all the powers of the company.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delegation to management, the role of the CEO,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delegation of authority framework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CEO should not be a member of the remuneration committee and should not be involved in decisions on their own remuneration.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4 states the board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“retains oversight of strategy, material capital investments, risks and executive appointments”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while day-to-day operations are delegated to the CEO and the executive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That is the right division in principle, but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“material” is not defined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no delegation of authority framework is mentioned.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Moleke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founder, CEO and an 18% shareholder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a concentration that Document 4’s own “founder-led to institutionally backed” heading acknowledges.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for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delegation of authority framework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approval limits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particularly for capital expenditure.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how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“material capital investments”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is defined and who signs off below that threshold.</w:t>
            </w:r>
          </w:p>
        </w:tc>
      </w:tr>
      <w:t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Maturing the governance as Axion scales</w:t>
            </w:r>
          </w:p>
        </w:tc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that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governance does not keep pace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with a R3–5bn capital programme.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ethical culture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as the entrepreneurial founder culture is formalised.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ethical culture as a governance outcome; the governing body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governs ethics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sets the tone.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governing body should ensure the organisation has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capacity and capability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execute its strategy.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 43(5)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social and ethics committee monitors ethics and corporate citizenship.</w:t>
            </w:r>
          </w:p>
        </w:tc>
        <w:tc>
          <w:tcPr>
            <w:tcW w:type="dxa" w:w="410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4 states the board is committed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“an ethical culture, effective control and transparent reporting”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that Axion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“progressively formalising its systems, governance and decision-making”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3 lists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organisational capacity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as one of six stated constraints,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MATURE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as one of four strategic priorities.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This is the theme that ties the whole document together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it is where a “what should we formalise next” required would land.</w:t>
            </w:r>
          </w:p>
        </w:tc>
        <w:tc>
          <w:tcPr>
            <w:tcW w:type="dxa" w:w="3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Be ready to recommend, in order: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delegation of authority framework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conflicts and related-party policy and register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committee terms of reference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risk register and combined assurance model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internal 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code of ethics and whistleblowing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board evaluation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J.  The SAICA Code — Sarah Naidoo CA(SA), and you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The course materials are explicit: apply King V to a director, and the SAICA Code to a CA(SA). Only a registered member or associate is bound by the Code in full.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3344"/>
        <w:gridCol w:w="4560"/>
        <w:gridCol w:w="4560"/>
      </w:tblGrid>
      <w:tr>
        <w:trPr>
          <w:tblHeader/>
        </w:trP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Who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Which source applies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What it requires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Sarah Naidoo CA(SA)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CFO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SAICA Code in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professional accountant in business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Part 1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Part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as a director.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Fundamental principles (s110):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integrity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professional competence and due care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confidentiality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professional behaviour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Conceptual framework (s120):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identify, evaluate and address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threats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Threats (s120.6 A3):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self-interest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self-review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advocacy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familiarity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intimidation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s260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responding to non-compliance with laws and regulations, for an accountant in business.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She is the executive preparing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draft information memorandum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 Document 4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business performance pack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 Documents 5 and 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If the memorandum overstates the board’s independence, she faces a threat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integrity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professional behaviour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potentially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s29(2)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of the Companies 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Self-interest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arises if her remuneration is linked to the funding outcome.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Intimidation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arises if institutional shareholders press for a particular presentation.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You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newly qualified CA(SA)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SAICA Code in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Part 1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Part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same fundamental principles and threats.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s260 NOCLAR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if you become aware of non-compliance.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s270 Pressure to breach the fundamental principles.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You report to the CFO. If asked to prepare or support a statement you believe to be misleading,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s260 and s270 route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applies: understand the matter, raise it with the appropriate level, escalate to the board, and document throughout.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other directors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Companies 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SAICA Code, unless shown to be a member.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fundamental principles may still be used 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standards of conduct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particularly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objectivity, integrity and confidentiality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Document 4 describes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only Naidoo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as CA(SA). Do not apply the Code to Van de Wyk, Kahn, September, Mthanda, Moleke or 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Apply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King V and s75, s76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to them, and use the fundamental principles to support the argument.</w:t>
            </w:r>
          </w:p>
        </w:tc>
      </w:tr>
      <w:tr>
        <w:tc>
          <w:tcPr>
            <w:tcW w:type="dxa" w:w="27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KZL Inc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external auditor</w:t>
            </w:r>
          </w:p>
        </w:tc>
        <w:tc>
          <w:tcPr>
            <w:tcW w:type="dxa" w:w="33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SAICA Code Part 4A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Auditing Profession 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Independence for audit engagements.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s540 Long association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provisions on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former partner joining an audit 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Axion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public interest entity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the stricter listed-entity requirements apply.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Engaged by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Mthanda question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 section F. Also engaged if KZL provides any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non-assurance services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to Axion.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Ask what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other services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KZL provides, and for how long it has held the appointment.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K.  How to answer a governance or ethics required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The structure below is the one set out in the IAC 2026 GAA Tutorial solutions.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4560"/>
        <w:gridCol w:w="9424"/>
      </w:tblGrid>
      <w:tr>
        <w:trPr>
          <w:tblHeader/>
        </w:trPr>
        <w:tc>
          <w:tcPr>
            <w:tcW w:type="dxa" w:w="12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</w:t>
            </w:r>
          </w:p>
        </w:tc>
        <w:tc>
          <w:tcPr>
            <w:tcW w:type="dxa" w:w="94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What to write</w:t>
            </w:r>
          </w:p>
        </w:tc>
      </w:tr>
      <w:tr>
        <w:tc>
          <w:tcPr>
            <w:tcW w:type="dxa" w:w="12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Identify the person and the source that binds them</w:t>
            </w:r>
          </w:p>
        </w:tc>
        <w:tc>
          <w:tcPr>
            <w:tcW w:type="dxa" w:w="94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 director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King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A CA(SA) →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SAICA Code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Everyone →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Companies 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2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 the issue, from the scenario</w:t>
            </w:r>
          </w:p>
        </w:tc>
        <w:tc>
          <w:tcPr>
            <w:tcW w:type="dxa" w:w="94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Use the facts given. Name the director, the committee and the shareholding.</w:t>
            </w:r>
          </w:p>
        </w:tc>
      </w:tr>
      <w:tr>
        <w:tc>
          <w:tcPr>
            <w:tcW w:type="dxa" w:w="12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Give the generic guidance from the standard</w:t>
            </w:r>
          </w:p>
        </w:tc>
        <w:tc>
          <w:tcPr>
            <w:tcW w:type="dxa" w:w="94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What King V or the Code says should happen. For the Code, name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threats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fundamental principles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compromised.</w:t>
            </w:r>
          </w:p>
        </w:tc>
      </w:tr>
      <w:tr>
        <w:tc>
          <w:tcPr>
            <w:tcW w:type="dxa" w:w="12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Explain why it is an issue for this person</w:t>
            </w:r>
          </w:p>
        </w:tc>
        <w:tc>
          <w:tcPr>
            <w:tcW w:type="dxa" w:w="94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Apply the guidance to the facts. This is where the marks are.</w:t>
            </w:r>
          </w:p>
        </w:tc>
      </w:tr>
      <w:tr>
        <w:tc>
          <w:tcPr>
            <w:tcW w:type="dxa" w:w="12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Link any breach of the Act back to the Code and to King V</w:t>
            </w:r>
          </w:p>
        </w:tc>
        <w:tc>
          <w:tcPr>
            <w:tcW w:type="dxa" w:w="94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 contravention of the Companies Act by a CA(SA) is a breach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professional behaviour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integrity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if they knew, and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professional competence and due care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if they ought to have known.</w:t>
            </w:r>
          </w:p>
        </w:tc>
      </w:tr>
      <w:tr>
        <w:tc>
          <w:tcPr>
            <w:tcW w:type="dxa" w:w="12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Conclude and recommend</w:t>
            </w:r>
          </w:p>
        </w:tc>
        <w:tc>
          <w:tcPr>
            <w:tcW w:type="dxa" w:w="94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Say what should be done: disclose, recuse, restructure the committee, obtain the document, amend the terms of reference. An analysis without a recommendation is incomplete.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0"/>
      </w:tblGrid>
      <w:tr>
        <w:tc>
          <w:tcPr>
            <w:tcW w:type="dxa" w:w="152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Five errors to avoid on this trigger.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Applying s94 to Axion.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It is a private company; s94 binds public and state-owned companies, or where the MOI requires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Assuming s75 applies to Van de Wyk automatically.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s75 needs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personal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financial interest. Establish it.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s76(2)(a)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applies regardless.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Treating King V as law.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It is apply and explain, and Document 4 says only that Axion is “informed by”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Applying the SAICA Code to directors who are not CA(SA).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Only Naidoo is described as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Missing that the social and ethics committee is compulsory.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public interest score puts Axion well above the Reg 43 threshold.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L.  Information required on the day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0640"/>
      </w:tblGrid>
      <w:tr>
        <w:trPr>
          <w:tblHeader/>
        </w:trP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or fact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Why it is needed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MOI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Whether it requires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audit committee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(s94), how directors are appointed (s66(4)), and whether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pre-emptive rights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are excluded (s39).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Shareholders’ agreement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nomination rights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reserved matters and veto rights, and consistency with the MOI and the Act under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s15(7)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Which firm Mthanda was a partner of, and when she left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whole of section F turns on it. If it was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KZL Inc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the cooling-off period has not run, both her independence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KZL’s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are in question.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Van de Wyk’s personal interests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Any interest in Ubuntu, carried interest, or incentive linked to Axion — which decides whether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s75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is engaged as well 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s76(2)(a)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Committee terms of reference and membership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Only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chairs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are named in Document 4. Composition is needed to test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Reg 43(4)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to assess independence of each committee.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Board independence assessment and skills matrix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To test the claim of “a balance of executive, non-executive and independent directors”.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Directors’ tenure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Long tenure is an independence indicator, particularly for September and Mthanda.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Conflicts register and s75 disclosures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To evidence that conflicts are declared and managed.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Delegation of authority framework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To test the board’s stated retention of oversight over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material capital investments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Whether an internal audit function exists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Part of the assurance and MATURE analysis.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Third-party liability at year end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To compute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public interest score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precisely rather than on total liabilities.</w:t>
            </w:r>
          </w:p>
        </w:tc>
      </w:tr>
      <w:tr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Directors’ fee approval</w:t>
            </w:r>
          </w:p>
        </w:tc>
        <w:tc>
          <w:tcPr>
            <w:tcW w:type="dxa" w:w="10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Whether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s66(9) special resolution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has been passed in the previous two years.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M.  Sources and verification status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2"/>
        <w:gridCol w:w="5168"/>
        <w:gridCol w:w="6080"/>
      </w:tblGrid>
      <w:tr>
        <w:trPr>
          <w:tblHeader/>
        </w:trP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Used for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Pre-release, Document 4 pages 11–12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Shareholding, board table, committees, governance statement.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Primary source.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Quoted directly.</w:t>
            </w:r>
          </w:p>
        </w:tc>
      </w:tr>
      <w:t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Companies Act 71 of 2008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s15(7), s29(2), s38, s39, s41, s66, s72, s75, s76, s94.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Read the sections before quoting subsection numbers.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section numbers are as commonly cited; the subsection detail should be confirmed against the Act.</w:t>
            </w:r>
          </w:p>
        </w:tc>
      </w:tr>
      <w:t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Companies Regulations 2011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 26(2) public interest score; Reg 28 audit; Reg 43 social and ethics committee.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Verified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thresholds of 350 for audit and above 500 in two of five years for the social and ethics committee, and the Reg 43(4) composition rule.</w:t>
            </w:r>
          </w:p>
        </w:tc>
      </w:tr>
      <w:t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V Code, 2025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Composition and independence, chair, committees, delegation, conflicts, remuneration, assurance, ethics, stakeholders, technology.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Cited by subject matter only.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13 principles, apply and explain, effective for years beginning on or after 1 January 2026 — verified.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Principle and practice numbers were NOT verified and are deliberately not quoted.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Confirm them against the Code before citing.</w:t>
            </w:r>
          </w:p>
        </w:tc>
      </w:tr>
      <w:t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 IV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recommended practice that the board chair should not chair the remuneration committee.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Used because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IAC 2026 course materials are written on King IV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Confirm the equivalent King V practice.</w:t>
            </w:r>
          </w:p>
        </w:tc>
      </w:tr>
      <w:t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SAICA Code of Professional Conduct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Fundamental principles; s120 conceptual framework; s120.6 A3 threats; s260 NOCLAR; s270 pressure; Part 4A independence; s540 long association.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Fundamental principles and the five threats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quoted as the IAC 2026 GAA Notes state them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Part 4A and s540 detail should be read before citing paragraph numbers.</w:t>
            </w:r>
          </w:p>
        </w:tc>
      </w:tr>
      <w:t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IAC 2026 GAA Notes and Tutorials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answer structure in section K; the public interest entity link; the rule that King applies to directors and the Code to members.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Verified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against the supplied materials.</w:t>
            </w:r>
          </w:p>
        </w:tc>
      </w:tr>
      <w:tr>
        <w:tc>
          <w:tcPr>
            <w:tcW w:type="dxa" w:w="39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Other pre-release documents</w:t>
            </w:r>
          </w:p>
        </w:tc>
        <w:tc>
          <w:tcPr>
            <w:tcW w:type="dxa" w:w="516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2 (KZL Inc, 300 employees), Document 3 (funding options, constraints, MATURE), Documents 5 and 7 (financials, AI pilot).</w:t>
            </w:r>
          </w:p>
        </w:tc>
        <w:tc>
          <w:tcPr>
            <w:tcW w:type="dxa" w:w="6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Used only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support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Document 4 analysis, and identified where used.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Prepared for APC 2026 September Qualifying Exam preparation. Axion Digital Infrastructure (Pty) Ltd is a fictitious entity created for assessment purposes.</w:t>
      </w:r>
    </w:p>
    <w:sectPr>
      <w:footerReference w:type="default" r:id="rId7"/>
      <w:pgSz w:w="16838" w:h="11906" w:orient="landscape"/>
      <w:pgMar w:top="720" w:right="720" w:bottom="6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2026-09-21T07:34:01.310Z</dcterms:created>
  <dcterms:modified xsi:type="dcterms:W3CDTF">2026-09-21T07:34:01.311Z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