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40" w:before="0" w:line="250" w:lineRule="auto"/>
      </w:pPr>
      <w:r>
        <w:rPr>
          <w:rFonts w:ascii="Arial" w:cs="Arial" w:eastAsia="Arial" w:hAnsi="Arial"/>
          <w:b/>
          <w:bCs/>
          <w:i w:val="false"/>
          <w:iCs w:val="false"/>
          <w:color w:val="000000"/>
          <w:sz w:val="30"/>
          <w:szCs w:val="30"/>
        </w:rPr>
        <w:t xml:space="preserve">Axion — Pre-release Triggers, page by page</w:t>
      </w:r>
    </w:p>
    <w:p>
      <w:pPr>
        <w:keepNext w:val="false"/>
        <w:spacing w:after="140" w:before="0" w:line="250" w:lineRule="auto"/>
      </w:pPr>
      <w:r>
        <w:rPr>
          <w:rFonts w:ascii="Arial" w:cs="Arial" w:eastAsia="Arial" w:hAnsi="Arial"/>
          <w:b w:val="false"/>
          <w:bCs w:val="false"/>
          <w:i w:val="false"/>
          <w:iCs w:val="false"/>
          <w:color w:val="000000"/>
          <w:sz w:val="18"/>
          <w:szCs w:val="18"/>
        </w:rPr>
        <w:t xml:space="preserve">APC 2026 September Qualifying Exam   |   Axion Digital Infrastructure (Pty) Ltd   |   Group meeting working paper</w:t>
      </w:r>
    </w:p>
    <w:p>
      <w:pPr>
        <w:keepNext w:val="false"/>
        <w:spacing w:after="100" w:before="0" w:line="250" w:lineRule="auto"/>
      </w:pPr>
      <w:r>
        <w:rPr>
          <w:rFonts w:ascii="Arial" w:cs="Arial" w:eastAsia="Arial" w:hAnsi="Arial"/>
          <w:b w:val="false"/>
          <w:bCs w:val="false"/>
          <w:i/>
          <w:iCs/>
          <w:color w:val="000000"/>
          <w:sz w:val="17"/>
          <w:szCs w:val="17"/>
        </w:rPr>
        <w:t xml:space="preserve">Read each line as: what is on the page → why it matters and what it means for our research. Use the last column to allocate work.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
        <w:gridCol w:w="1751"/>
        <w:gridCol w:w="6386"/>
        <w:gridCol w:w="1648"/>
      </w:tblGrid>
      <w:tr>
        <w:trPr>
          <w:tblHeader/>
        </w:trPr>
        <w:tc>
          <w:tcPr>
            <w:tcW w:type="dxa" w:w="515"/>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Pg</w:t>
            </w:r>
          </w:p>
        </w:tc>
        <w:tc>
          <w:tcPr>
            <w:tcW w:type="dxa" w:w="1751"/>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Document</w:t>
            </w:r>
          </w:p>
        </w:tc>
        <w:tc>
          <w:tcPr>
            <w:tcW w:type="dxa" w:w="6386"/>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What is important on the page  →  why it matters for our research</w:t>
            </w:r>
          </w:p>
        </w:tc>
        <w:tc>
          <w:tcPr>
            <w:tcW w:type="dxa" w:w="1648"/>
            <w:tcBorders>
              <w:top w:val="single" w:color="888888" w:sz="4"/>
              <w:left w:val="single" w:color="888888" w:sz="4"/>
              <w:bottom w:val="single" w:color="888888" w:sz="4"/>
              <w:right w:val="single" w:color="888888" w:sz="4"/>
            </w:tcBorders>
            <w:shd w:fill="E8E8E8" w:val="clear"/>
            <w:tcMar>
              <w:top w:type="dxa" w:w="60"/>
              <w:left w:type="dxa" w:w="80"/>
              <w:bottom w:type="dxa" w:w="60"/>
              <w:right w:type="dxa" w:w="80"/>
            </w:tcMar>
            <w:vAlign w:val="center"/>
          </w:tcPr>
          <w:p>
            <w:pPr>
              <w:keepNext w:val="false"/>
              <w:spacing w:after="0" w:before="0" w:line="250" w:lineRule="auto"/>
            </w:pPr>
            <w:r>
              <w:rPr>
                <w:rFonts w:ascii="Arial" w:cs="Arial" w:eastAsia="Arial" w:hAnsi="Arial"/>
                <w:b/>
                <w:bCs/>
                <w:i w:val="false"/>
                <w:iCs w:val="false"/>
                <w:color w:val="000000"/>
                <w:sz w:val="17"/>
                <w:szCs w:val="17"/>
              </w:rPr>
              <w:t xml:space="preserve">Subject area</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1–2</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Contents</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Seven documents, all from the CFO, all dated 18 September</w:t>
            </w:r>
            <w:r>
              <w:rPr>
                <w:rFonts w:ascii="Arial" w:cs="Arial" w:eastAsia="Arial" w:hAnsi="Arial"/>
                <w:b w:val="false"/>
                <w:bCs w:val="false"/>
                <w:i w:val="false"/>
                <w:iCs w:val="false"/>
                <w:color w:val="000000"/>
                <w:sz w:val="17"/>
                <w:szCs w:val="17"/>
              </w:rPr>
              <w:t xml:space="preserve"> → Every task will be a reply to Sarah Naidoo, a CA(SA). We can write technically without explaining basics, but the tone is junior-to-senior throughout.</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Context</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3</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1 — Welcome email</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CFO names six areas to prepare:</w:t>
            </w:r>
            <w:r>
              <w:rPr>
                <w:rFonts w:ascii="Arial" w:cs="Arial" w:eastAsia="Arial" w:hAnsi="Arial"/>
                <w:b w:val="false"/>
                <w:bCs w:val="false"/>
                <w:i w:val="false"/>
                <w:iCs w:val="false"/>
                <w:color w:val="000000"/>
                <w:sz w:val="17"/>
                <w:szCs w:val="17"/>
              </w:rPr>
              <w:t xml:space="preserve"> contracted capacity, the undeveloped land, IFRS 18, growth strategy and investment evaluation, tax on investments, and controls over AI tools → This is the spine of our preparation and almost certainly maps onto the tasks. Allocate research against these six first — but they are not the whole list.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“Substantial investment, reliable power and sound commercial judgement”</w:t>
            </w:r>
            <w:r>
              <w:rPr>
                <w:rFonts w:ascii="Arial" w:cs="Arial" w:eastAsia="Arial" w:hAnsi="Arial"/>
                <w:b w:val="false"/>
                <w:bCs w:val="false"/>
                <w:i w:val="false"/>
                <w:iCs w:val="false"/>
                <w:color w:val="000000"/>
                <w:sz w:val="17"/>
                <w:szCs w:val="17"/>
              </w:rPr>
              <w:t xml:space="preserve"> → The case in one line: funding, electricity, decisions. Every task will sit in one of those three.</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Customers include the world’s largest cloud and technology businesses</w:t>
            </w:r>
            <w:r>
              <w:rPr>
                <w:rFonts w:ascii="Arial" w:cs="Arial" w:eastAsia="Arial" w:hAnsi="Arial"/>
                <w:b w:val="false"/>
                <w:bCs w:val="false"/>
                <w:i w:val="false"/>
                <w:iCs w:val="false"/>
                <w:color w:val="000000"/>
                <w:sz w:val="17"/>
                <w:szCs w:val="17"/>
              </w:rPr>
              <w:t xml:space="preserve"> → Customer concentration and strong buyer bargaining power. Feeds revenue recognition, credit risk, pricing power and any capacity allocation decision.</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Business context</w:t>
            </w:r>
          </w:p>
          <w:p>
            <w:pPr>
              <w:keepNext w:val="false"/>
              <w:spacing w:after="0" w:before="0" w:line="250" w:lineRule="auto"/>
            </w:pPr>
            <w:r>
              <w:rPr>
                <w:rFonts w:ascii="Arial" w:cs="Arial" w:eastAsia="Arial" w:hAnsi="Arial"/>
                <w:b w:val="false"/>
                <w:bCs w:val="false"/>
                <w:i w:val="false"/>
                <w:iCs w:val="false"/>
                <w:color w:val="000000"/>
                <w:sz w:val="17"/>
                <w:szCs w:val="17"/>
              </w:rPr>
              <w:t xml:space="preserve">Scoping</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4–5</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2 — Getting Connected</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Axion provides “dedicated racks, cages or areas”</w:t>
            </w:r>
            <w:r>
              <w:rPr>
                <w:rFonts w:ascii="Arial" w:cs="Arial" w:eastAsia="Arial" w:hAnsi="Arial"/>
                <w:b w:val="false"/>
                <w:bCs w:val="false"/>
                <w:i w:val="false"/>
                <w:iCs w:val="false"/>
                <w:color w:val="000000"/>
                <w:sz w:val="17"/>
                <w:szCs w:val="17"/>
              </w:rPr>
              <w:t xml:space="preserve"> → The most important phrase in the pack for financial reporting. A dedicated, identified space may mean the contract contains a </w:t>
            </w:r>
            <w:r>
              <w:rPr>
                <w:rFonts w:ascii="Arial" w:cs="Arial" w:eastAsia="Arial" w:hAnsi="Arial"/>
                <w:b/>
                <w:bCs/>
                <w:i w:val="false"/>
                <w:iCs w:val="false"/>
                <w:color w:val="000000"/>
                <w:sz w:val="17"/>
                <w:szCs w:val="17"/>
              </w:rPr>
              <w:t xml:space="preserve">lease under IFRS 16 with Axion as lessor</w:t>
            </w:r>
            <w:r>
              <w:rPr>
                <w:rFonts w:ascii="Arial" w:cs="Arial" w:eastAsia="Arial" w:hAnsi="Arial"/>
                <w:b w:val="false"/>
                <w:bCs w:val="false"/>
                <w:i w:val="false"/>
                <w:iCs w:val="false"/>
                <w:color w:val="000000"/>
                <w:sz w:val="17"/>
                <w:szCs w:val="17"/>
              </w:rPr>
              <w:t xml:space="preserve">, not revenue under IFRS 15. This decides how 85% of revenue is accounted for. Research both sides and know what facts would settle it.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Revenue split: data centre services ~85%, interconnection ~15%</w:t>
            </w:r>
            <w:r>
              <w:rPr>
                <w:rFonts w:ascii="Arial" w:cs="Arial" w:eastAsia="Arial" w:hAnsi="Arial"/>
                <w:b w:val="false"/>
                <w:bCs w:val="false"/>
                <w:i w:val="false"/>
                <w:iCs w:val="false"/>
                <w:color w:val="000000"/>
                <w:sz w:val="17"/>
                <w:szCs w:val="17"/>
              </w:rPr>
              <w:t xml:space="preserve"> → Tells us where to concentrate accounting and analysis effort.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Ecosystem effect — more participants makes the platform more valuable</w:t>
            </w:r>
            <w:r>
              <w:rPr>
                <w:rFonts w:ascii="Arial" w:cs="Arial" w:eastAsia="Arial" w:hAnsi="Arial"/>
                <w:b w:val="false"/>
                <w:bCs w:val="false"/>
                <w:i w:val="false"/>
                <w:iCs w:val="false"/>
                <w:color w:val="000000"/>
                <w:sz w:val="17"/>
                <w:szCs w:val="17"/>
              </w:rPr>
              <w:t xml:space="preserve"> → This is the competitive moat. It raises switching costs, supports pricing, and is a reason a customer’s ecosystem value may outweigh its contribution per MW.</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99.999% target availability</w:t>
            </w:r>
            <w:r>
              <w:rPr>
                <w:rFonts w:ascii="Arial" w:cs="Arial" w:eastAsia="Arial" w:hAnsi="Arial"/>
                <w:b w:val="false"/>
                <w:bCs w:val="false"/>
                <w:i w:val="false"/>
                <w:iCs w:val="false"/>
                <w:color w:val="000000"/>
                <w:sz w:val="17"/>
                <w:szCs w:val="17"/>
              </w:rPr>
              <w:t xml:space="preserve"> → About five minutes of downtime a year. Explains the redundancy capital spend, the service level penalty exposure, and why the AI maintenance pilot matters.</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Revenue shown as R2.4bn here, but R2 620m on page 15</w:t>
            </w:r>
            <w:r>
              <w:rPr>
                <w:rFonts w:ascii="Arial" w:cs="Arial" w:eastAsia="Arial" w:hAnsi="Arial"/>
                <w:b w:val="false"/>
                <w:bCs w:val="false"/>
                <w:i w:val="false"/>
                <w:iCs w:val="false"/>
                <w:color w:val="000000"/>
                <w:sz w:val="17"/>
                <w:szCs w:val="17"/>
              </w:rPr>
              <w:t xml:space="preserve"> → Does not reconcile. Ask why rather than assume rounding.</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FR — revenue</w:t>
            </w:r>
          </w:p>
          <w:p>
            <w:pPr>
              <w:keepNext w:val="false"/>
              <w:spacing w:after="40" w:before="0" w:line="250" w:lineRule="auto"/>
            </w:pPr>
            <w:r>
              <w:rPr>
                <w:rFonts w:ascii="Arial" w:cs="Arial" w:eastAsia="Arial" w:hAnsi="Arial"/>
                <w:b w:val="false"/>
                <w:bCs w:val="false"/>
                <w:i w:val="false"/>
                <w:iCs w:val="false"/>
                <w:color w:val="000000"/>
                <w:sz w:val="17"/>
                <w:szCs w:val="17"/>
              </w:rPr>
              <w:t xml:space="preserve">Business model</w:t>
            </w:r>
          </w:p>
          <w:p>
            <w:pPr>
              <w:keepNext w:val="false"/>
              <w:spacing w:after="0" w:before="0" w:line="250" w:lineRule="auto"/>
            </w:pPr>
            <w:r>
              <w:rPr>
                <w:rFonts w:ascii="Arial" w:cs="Arial" w:eastAsia="Arial" w:hAnsi="Arial"/>
                <w:b w:val="false"/>
                <w:bCs w:val="false"/>
                <w:i w:val="false"/>
                <w:iCs w:val="false"/>
                <w:color w:val="000000"/>
                <w:sz w:val="17"/>
                <w:szCs w:val="17"/>
              </w:rPr>
              <w:t xml:space="preserve">Strategy</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6–7</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3 — The opportunity</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Demand drivers: cloud, AI and Africa’s digital economy</w:t>
            </w:r>
            <w:r>
              <w:rPr>
                <w:rFonts w:ascii="Arial" w:cs="Arial" w:eastAsia="Arial" w:hAnsi="Arial"/>
                <w:b w:val="false"/>
                <w:bCs w:val="false"/>
                <w:i w:val="false"/>
                <w:iCs w:val="false"/>
                <w:color w:val="000000"/>
                <w:sz w:val="17"/>
                <w:szCs w:val="17"/>
              </w:rPr>
              <w:t xml:space="preserve"> → AI is the growth engine but also drives higher power density and cooling load. It connects the strategy trigger directly to the power trigger — they are not separate questions.</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CEO: the challenge is no longer whether demand will grow, but how quickly Axion should grow with it</w:t>
            </w:r>
            <w:r>
              <w:rPr>
                <w:rFonts w:ascii="Arial" w:cs="Arial" w:eastAsia="Arial" w:hAnsi="Arial"/>
                <w:b w:val="false"/>
                <w:bCs w:val="false"/>
                <w:i w:val="false"/>
                <w:iCs w:val="false"/>
                <w:color w:val="000000"/>
                <w:sz w:val="17"/>
                <w:szCs w:val="17"/>
              </w:rPr>
              <w:t xml:space="preserve"> → The exam question in one sentence. Expect a task that forces the trade-off between pace of growth and the capacity to fund and absorb it.</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Strategy</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8</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3 — Axion 2030 and investment approach</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R3–5bn of capital under consideration over five years</w:t>
            </w:r>
            <w:r>
              <w:rPr>
                <w:rFonts w:ascii="Arial" w:cs="Arial" w:eastAsia="Arial" w:hAnsi="Arial"/>
                <w:b w:val="false"/>
                <w:bCs w:val="false"/>
                <w:i w:val="false"/>
                <w:iCs w:val="false"/>
                <w:color w:val="000000"/>
                <w:sz w:val="17"/>
                <w:szCs w:val="17"/>
              </w:rPr>
              <w:t xml:space="preserve"> → Against borrowings of R4 850m and EBITDA of R1 116m, debt capacity is the binding constraint. Work out how much more debt is possible before covenants bite — the balance has to be equity. This is the central commercial calculation in the case.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Method specified: incremental pre-tax cash flows and a pre-tax project NPV</w:t>
            </w:r>
            <w:r>
              <w:rPr>
                <w:rFonts w:ascii="Arial" w:cs="Arial" w:eastAsia="Arial" w:hAnsi="Arial"/>
                <w:b w:val="false"/>
                <w:bCs w:val="false"/>
                <w:i w:val="false"/>
                <w:iCs w:val="false"/>
                <w:color w:val="000000"/>
                <w:sz w:val="17"/>
                <w:szCs w:val="17"/>
              </w:rPr>
              <w:t xml:space="preserve"> → Cash flows and the discount rate must be on the same basis. This is a classic APC trap and the pack has pre-loaded it. Expect a calculation on the day that either gets it wrong or that we must get right.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beta chain is spelled out: comparable equity beta → remove gearing → apply the project’s capital structure</w:t>
            </w:r>
            <w:r>
              <w:rPr>
                <w:rFonts w:ascii="Arial" w:cs="Arial" w:eastAsia="Arial" w:hAnsi="Arial"/>
                <w:b w:val="false"/>
                <w:bCs w:val="false"/>
                <w:i w:val="false"/>
                <w:iCs w:val="false"/>
                <w:color w:val="000000"/>
                <w:sz w:val="17"/>
                <w:szCs w:val="17"/>
              </w:rPr>
              <w:t xml:space="preserve"> → Know the ungearing and regearing formulas cold and be able to run the chain through to a project WACC without hesitating.</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“Project-level funding does not necessarily transfer risk away from Axion”</w:t>
            </w:r>
            <w:r>
              <w:rPr>
                <w:rFonts w:ascii="Arial" w:cs="Arial" w:eastAsia="Arial" w:hAnsi="Arial"/>
                <w:b w:val="false"/>
                <w:bCs w:val="false"/>
                <w:i w:val="false"/>
                <w:iCs w:val="false"/>
                <w:color w:val="000000"/>
                <w:sz w:val="17"/>
                <w:szCs w:val="17"/>
              </w:rPr>
              <w:t xml:space="preserve"> → The pack has given us the counterargument to ring-fencing. Use it whenever project finance is proposed.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Funding options: more debt, existing shareholders, or a new strategic investor</w:t>
            </w:r>
            <w:r>
              <w:rPr>
                <w:rFonts w:ascii="Arial" w:cs="Arial" w:eastAsia="Arial" w:hAnsi="Arial"/>
                <w:b w:val="false"/>
                <w:bCs w:val="false"/>
                <w:i w:val="false"/>
                <w:iCs w:val="false"/>
                <w:color w:val="000000"/>
                <w:sz w:val="17"/>
                <w:szCs w:val="17"/>
              </w:rPr>
              <w:t xml:space="preserve"> → Apply FRICTO. Model the dilution and its effect on control and on the B-BBEE ownership score.</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“Digital tools support analysis, not judgement; outputs are reviewed and independently validated”</w:t>
            </w:r>
            <w:r>
              <w:rPr>
                <w:rFonts w:ascii="Arial" w:cs="Arial" w:eastAsia="Arial" w:hAnsi="Arial"/>
                <w:b w:val="false"/>
                <w:bCs w:val="false"/>
                <w:i w:val="false"/>
                <w:iCs w:val="false"/>
                <w:color w:val="000000"/>
                <w:sz w:val="17"/>
                <w:szCs w:val="17"/>
              </w:rPr>
              <w:t xml:space="preserve"> → This is the standard Axion has set for itself. Measure any weakness in the AI pilot directly against it.</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FM — NPV, WACC, beta</w:t>
            </w:r>
          </w:p>
          <w:p>
            <w:pPr>
              <w:keepNext w:val="false"/>
              <w:spacing w:after="40" w:before="0" w:line="250" w:lineRule="auto"/>
            </w:pPr>
            <w:r>
              <w:rPr>
                <w:rFonts w:ascii="Arial" w:cs="Arial" w:eastAsia="Arial" w:hAnsi="Arial"/>
                <w:b w:val="false"/>
                <w:bCs w:val="false"/>
                <w:i w:val="false"/>
                <w:iCs w:val="false"/>
                <w:color w:val="000000"/>
                <w:sz w:val="17"/>
                <w:szCs w:val="17"/>
              </w:rPr>
              <w:t xml:space="preserve">Strategy</w:t>
            </w:r>
          </w:p>
          <w:p>
            <w:pPr>
              <w:keepNext w:val="false"/>
              <w:spacing w:after="0" w:before="0" w:line="250" w:lineRule="auto"/>
            </w:pPr>
            <w:r>
              <w:rPr>
                <w:rFonts w:ascii="Arial" w:cs="Arial" w:eastAsia="Arial" w:hAnsi="Arial"/>
                <w:b w:val="false"/>
                <w:bCs w:val="false"/>
                <w:i w:val="false"/>
                <w:iCs w:val="false"/>
                <w:color w:val="000000"/>
                <w:sz w:val="17"/>
                <w:szCs w:val="17"/>
              </w:rPr>
              <w:t xml:space="preserve">Governance</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9</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3 — Constraints</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Six constraints: power, capital, land, people, sustainability, organisational capacity</w:t>
            </w:r>
            <w:r>
              <w:rPr>
                <w:rFonts w:ascii="Arial" w:cs="Arial" w:eastAsia="Arial" w:hAnsi="Arial"/>
                <w:b w:val="false"/>
                <w:bCs w:val="false"/>
                <w:i w:val="false"/>
                <w:iCs w:val="false"/>
                <w:color w:val="000000"/>
                <w:sz w:val="17"/>
                <w:szCs w:val="17"/>
              </w:rPr>
              <w:t xml:space="preserve"> → Ready-made structure for any open-ended “key considerations” task. Use the pack’s own headings rather than inventing our own.</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Tension: entrepreneurial culture against organisational maturity, and “MATURE” is a stated priority</w:t>
            </w:r>
            <w:r>
              <w:rPr>
                <w:rFonts w:ascii="Arial" w:cs="Arial" w:eastAsia="Arial" w:hAnsi="Arial"/>
                <w:b w:val="false"/>
                <w:bCs w:val="false"/>
                <w:i w:val="false"/>
                <w:iCs w:val="false"/>
                <w:color w:val="000000"/>
                <w:sz w:val="17"/>
                <w:szCs w:val="17"/>
              </w:rPr>
              <w:t xml:space="preserve"> → Governance, systems and control weaknesses are explicitly fair game as a task. Be ready to advise on what must be formalised as Axion scales.</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Strategy</w:t>
            </w:r>
          </w:p>
          <w:p>
            <w:pPr>
              <w:keepNext w:val="false"/>
              <w:spacing w:after="40" w:before="0" w:line="250" w:lineRule="auto"/>
            </w:pPr>
            <w:r>
              <w:rPr>
                <w:rFonts w:ascii="Arial" w:cs="Arial" w:eastAsia="Arial" w:hAnsi="Arial"/>
                <w:b w:val="false"/>
                <w:bCs w:val="false"/>
                <w:i w:val="false"/>
                <w:iCs w:val="false"/>
                <w:color w:val="000000"/>
                <w:sz w:val="17"/>
                <w:szCs w:val="17"/>
              </w:rPr>
              <w:t xml:space="preserve">Risk</w:t>
            </w:r>
          </w:p>
          <w:p>
            <w:pPr>
              <w:keepNext w:val="false"/>
              <w:spacing w:after="0" w:before="0" w:line="250" w:lineRule="auto"/>
            </w:pPr>
            <w:r>
              <w:rPr>
                <w:rFonts w:ascii="Arial" w:cs="Arial" w:eastAsia="Arial" w:hAnsi="Arial"/>
                <w:b w:val="false"/>
                <w:bCs w:val="false"/>
                <w:i w:val="false"/>
                <w:iCs w:val="false"/>
                <w:color w:val="000000"/>
                <w:sz w:val="17"/>
                <w:szCs w:val="17"/>
              </w:rPr>
              <w:t xml:space="preserve">Governance</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10–11</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4 — Ownership</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Ubuntu 35%, Horizon 30%, founders 25% combined, Employee &amp; Empowerment Trust 10%</w:t>
            </w:r>
            <w:r>
              <w:rPr>
                <w:rFonts w:ascii="Arial" w:cs="Arial" w:eastAsia="Arial" w:hAnsi="Arial"/>
                <w:b w:val="false"/>
                <w:bCs w:val="false"/>
                <w:i w:val="false"/>
                <w:iCs w:val="false"/>
                <w:color w:val="000000"/>
                <w:sz w:val="17"/>
                <w:szCs w:val="17"/>
              </w:rPr>
              <w:t xml:space="preserve"> → Nobody controls Axion alone. Model what a new investor at 10%, 20% or 25% does to each holding and to the 50% and 75% resolution thresholds.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Employee &amp; Empowerment Trust holds 10%</w:t>
            </w:r>
            <w:r>
              <w:rPr>
                <w:rFonts w:ascii="Arial" w:cs="Arial" w:eastAsia="Arial" w:hAnsi="Arial"/>
                <w:b w:val="false"/>
                <w:bCs w:val="false"/>
                <w:i w:val="false"/>
                <w:iCs w:val="false"/>
                <w:color w:val="000000"/>
                <w:sz w:val="17"/>
                <w:szCs w:val="17"/>
              </w:rPr>
              <w:t xml:space="preserve"> → Dilution reduces the B-BBEE ownership score. That is a real commercial cost, because customers are SA banks, retailers and telcos with their own procurement scorecards.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Institutional investors have director nomination rights under the shareholders’ agreement</w:t>
            </w:r>
            <w:r>
              <w:rPr>
                <w:rFonts w:ascii="Arial" w:cs="Arial" w:eastAsia="Arial" w:hAnsi="Arial"/>
                <w:b w:val="false"/>
                <w:bCs w:val="false"/>
                <w:i w:val="false"/>
                <w:iCs w:val="false"/>
                <w:color w:val="000000"/>
                <w:sz w:val="17"/>
                <w:szCs w:val="17"/>
              </w:rPr>
              <w:t xml:space="preserve"> → Board composition is contractual, not just constitutional. It changes if a new investor joins — relevant to any funding recommendation.</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Thandi Mthanda is a former audit partner and chairs Audit &amp; Risk</w:t>
            </w:r>
            <w:r>
              <w:rPr>
                <w:rFonts w:ascii="Arial" w:cs="Arial" w:eastAsia="Arial" w:hAnsi="Arial"/>
                <w:b w:val="false"/>
                <w:bCs w:val="false"/>
                <w:i w:val="false"/>
                <w:iCs w:val="false"/>
                <w:color w:val="000000"/>
                <w:sz w:val="17"/>
                <w:szCs w:val="17"/>
              </w:rPr>
              <w:t xml:space="preserve"> → Of which firm, and how long ago? KZL Inc is our auditor. Check the cooling-off period.</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Governance</w:t>
            </w:r>
          </w:p>
          <w:p>
            <w:pPr>
              <w:keepNext w:val="false"/>
              <w:spacing w:after="40" w:before="0" w:line="250" w:lineRule="auto"/>
            </w:pPr>
            <w:r>
              <w:rPr>
                <w:rFonts w:ascii="Arial" w:cs="Arial" w:eastAsia="Arial" w:hAnsi="Arial"/>
                <w:b w:val="false"/>
                <w:bCs w:val="false"/>
                <w:i w:val="false"/>
                <w:iCs w:val="false"/>
                <w:color w:val="000000"/>
                <w:sz w:val="17"/>
                <w:szCs w:val="17"/>
              </w:rPr>
              <w:t xml:space="preserve">FM — funding</w:t>
            </w:r>
          </w:p>
          <w:p>
            <w:pPr>
              <w:keepNext w:val="false"/>
              <w:spacing w:after="0" w:before="0" w:line="250" w:lineRule="auto"/>
            </w:pPr>
            <w:r>
              <w:rPr>
                <w:rFonts w:ascii="Arial" w:cs="Arial" w:eastAsia="Arial" w:hAnsi="Arial"/>
                <w:b w:val="false"/>
                <w:bCs w:val="false"/>
                <w:i w:val="false"/>
                <w:iCs w:val="false"/>
                <w:color w:val="000000"/>
                <w:sz w:val="17"/>
                <w:szCs w:val="17"/>
              </w:rPr>
              <w:t xml:space="preserve">Ethics</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12</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4 — Committees</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Michael van de Wyk chairs the Investment Committee while being investment director of the 35% shareholder</w:t>
            </w:r>
            <w:r>
              <w:rPr>
                <w:rFonts w:ascii="Arial" w:cs="Arial" w:eastAsia="Arial" w:hAnsi="Arial"/>
                <w:b w:val="false"/>
                <w:bCs w:val="false"/>
                <w:i w:val="false"/>
                <w:iCs w:val="false"/>
                <w:color w:val="000000"/>
                <w:sz w:val="17"/>
                <w:szCs w:val="17"/>
              </w:rPr>
              <w:t xml:space="preserve"> → If Ubuntu could co-invest or otherwise benefit, this is a conflict of interest under Companies Act section 75 and King V. This is the most likely place an ethics or governance task will land.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Dr September chairs the board, Social &amp; Ethics, and Remuneration &amp; Nomination</w:t>
            </w:r>
            <w:r>
              <w:rPr>
                <w:rFonts w:ascii="Arial" w:cs="Arial" w:eastAsia="Arial" w:hAnsi="Arial"/>
                <w:b w:val="false"/>
                <w:bCs w:val="false"/>
                <w:i w:val="false"/>
                <w:iCs w:val="false"/>
                <w:color w:val="000000"/>
                <w:sz w:val="17"/>
                <w:szCs w:val="17"/>
              </w:rPr>
              <w:t xml:space="preserve"> → Raises capacity and independence questions, and King V is worth checking on whether the board chair should chair remuneration.</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Unlisted, but governance is “informed by” King V</w:t>
            </w:r>
            <w:r>
              <w:rPr>
                <w:rFonts w:ascii="Arial" w:cs="Arial" w:eastAsia="Arial" w:hAnsi="Arial"/>
                <w:b w:val="false"/>
                <w:bCs w:val="false"/>
                <w:i w:val="false"/>
                <w:iCs w:val="false"/>
                <w:color w:val="000000"/>
                <w:sz w:val="17"/>
                <w:szCs w:val="17"/>
              </w:rPr>
              <w:t xml:space="preserve"> → Apply King V as principles and recommended practices, not as rules. Separately check what a private company is actually required to have — social and ethics committee, audit committee, public interest score.</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Governance</w:t>
            </w:r>
          </w:p>
          <w:p>
            <w:pPr>
              <w:keepNext w:val="false"/>
              <w:spacing w:after="0" w:before="0" w:line="250" w:lineRule="auto"/>
            </w:pPr>
            <w:r>
              <w:rPr>
                <w:rFonts w:ascii="Arial" w:cs="Arial" w:eastAsia="Arial" w:hAnsi="Arial"/>
                <w:b w:val="false"/>
                <w:bCs w:val="false"/>
                <w:i w:val="false"/>
                <w:iCs w:val="false"/>
                <w:color w:val="000000"/>
                <w:sz w:val="17"/>
                <w:szCs w:val="17"/>
              </w:rPr>
              <w:t xml:space="preserve">Ethics</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13–14</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5 — How Axion makes money</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Four revenue streams, each charged differently</w:t>
            </w:r>
            <w:r>
              <w:rPr>
                <w:rFonts w:ascii="Arial" w:cs="Arial" w:eastAsia="Arial" w:hAnsi="Arial"/>
                <w:b w:val="false"/>
                <w:bCs w:val="false"/>
                <w:i w:val="false"/>
                <w:iCs w:val="false"/>
                <w:color w:val="000000"/>
                <w:sz w:val="17"/>
                <w:szCs w:val="17"/>
              </w:rPr>
              <w:t xml:space="preserve"> → Run the IFRS 15 five-step model on each stream separately. Do not treat revenue as one thing.</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Electricity is separately metered and recharged, including a contribution to cooling the facility</w:t>
            </w:r>
            <w:r>
              <w:rPr>
                <w:rFonts w:ascii="Arial" w:cs="Arial" w:eastAsia="Arial" w:hAnsi="Arial"/>
                <w:b w:val="false"/>
                <w:bCs w:val="false"/>
                <w:i w:val="false"/>
                <w:iCs w:val="false"/>
                <w:color w:val="000000"/>
                <w:sz w:val="17"/>
                <w:szCs w:val="17"/>
              </w:rPr>
              <w:t xml:space="preserve"> → Principal or agent? Axion buys power and on-sells it. Then decide whether the recharge is a separate performance obligation or part of one combined service.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Installed 45 MW, contracted 40 MW, utilised 35 MW — customers may contract before using</w:t>
            </w:r>
            <w:r>
              <w:rPr>
                <w:rFonts w:ascii="Arial" w:cs="Arial" w:eastAsia="Arial" w:hAnsi="Arial"/>
                <w:b w:val="false"/>
                <w:bCs w:val="false"/>
                <w:i w:val="false"/>
                <w:iCs w:val="false"/>
                <w:color w:val="000000"/>
                <w:sz w:val="17"/>
                <w:szCs w:val="17"/>
              </w:rPr>
              <w:t xml:space="preserve"> → Two things follow. The 5 MW contracted but unused is a stand-ready obligation — revenue as capacity is made available, not as used. And only 5 MW of installed capacity is left to sell.</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“Axion does not provide financing to its customers”</w:t>
            </w:r>
            <w:r>
              <w:rPr>
                <w:rFonts w:ascii="Arial" w:cs="Arial" w:eastAsia="Arial" w:hAnsi="Arial"/>
                <w:b w:val="false"/>
                <w:bCs w:val="false"/>
                <w:i w:val="false"/>
                <w:iCs w:val="false"/>
                <w:color w:val="000000"/>
                <w:sz w:val="17"/>
                <w:szCs w:val="17"/>
              </w:rPr>
              <w:t xml:space="preserve"> → A scoping sentence. It closes off the significant financing component under IFRS 15 and the “financing to customers” main business activity test under IFRS 18. Do not write about either.</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FR — IFRS 15 / IFRS 16</w:t>
            </w:r>
          </w:p>
          <w:p>
            <w:pPr>
              <w:keepNext w:val="false"/>
              <w:spacing w:after="40" w:before="0" w:line="250" w:lineRule="auto"/>
            </w:pPr>
            <w:r>
              <w:rPr>
                <w:rFonts w:ascii="Arial" w:cs="Arial" w:eastAsia="Arial" w:hAnsi="Arial"/>
                <w:b w:val="false"/>
                <w:bCs w:val="false"/>
                <w:i w:val="false"/>
                <w:iCs w:val="false"/>
                <w:color w:val="000000"/>
                <w:sz w:val="17"/>
                <w:szCs w:val="17"/>
              </w:rPr>
              <w:t xml:space="preserve">MDMC</w:t>
            </w:r>
          </w:p>
          <w:p>
            <w:pPr>
              <w:keepNext w:val="false"/>
              <w:spacing w:after="0" w:before="0" w:line="250" w:lineRule="auto"/>
            </w:pPr>
            <w:r>
              <w:rPr>
                <w:rFonts w:ascii="Arial" w:cs="Arial" w:eastAsia="Arial" w:hAnsi="Arial"/>
                <w:b w:val="false"/>
                <w:bCs w:val="false"/>
                <w:i w:val="false"/>
                <w:iCs w:val="false"/>
                <w:color w:val="000000"/>
                <w:sz w:val="17"/>
                <w:szCs w:val="17"/>
              </w:rPr>
              <w:t xml:space="preserve">Audit</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15</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5 — Capacity, financials, other matters</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“Decisions regarding new customer commitments can significantly influence the future revenue profile and customer mix of a facility”</w:t>
            </w:r>
            <w:r>
              <w:rPr>
                <w:rFonts w:ascii="Arial" w:cs="Arial" w:eastAsia="Arial" w:hAnsi="Arial"/>
                <w:b w:val="false"/>
                <w:bCs w:val="false"/>
                <w:i w:val="false"/>
                <w:iCs w:val="false"/>
                <w:color w:val="000000"/>
                <w:sz w:val="17"/>
                <w:szCs w:val="17"/>
              </w:rPr>
              <w:t xml:space="preserve"> → Points directly at a capacity allocation decision — who gets the last 5 MW. Build a contribution-per-MW model before the exam and be ready to rank customers on the limiting factor.</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Three-year financials</w:t>
            </w:r>
            <w:r>
              <w:rPr>
                <w:rFonts w:ascii="Arial" w:cs="Arial" w:eastAsia="Arial" w:hAnsi="Arial"/>
                <w:b w:val="false"/>
                <w:bCs w:val="false"/>
                <w:i w:val="false"/>
                <w:iCs w:val="false"/>
                <w:color w:val="000000"/>
                <w:sz w:val="17"/>
                <w:szCs w:val="17"/>
              </w:rPr>
              <w:t xml:space="preserve"> → Interest cover is falling (operating profit to finance costs 2.04 → 1.87), borrowings sit at 4.35× EBITDA, and capital spend is running at about 1.8× EBITDA. The business is outspending its cash generation. Have all the ratios calculated and in the file.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Metroloop — 40% joint venture, equity accounted, one line only</w:t>
            </w:r>
            <w:r>
              <w:rPr>
                <w:rFonts w:ascii="Arial" w:cs="Arial" w:eastAsia="Arial" w:hAnsi="Arial"/>
                <w:b w:val="false"/>
                <w:bCs w:val="false"/>
                <w:i w:val="false"/>
                <w:iCs w:val="false"/>
                <w:color w:val="000000"/>
                <w:sz w:val="17"/>
                <w:szCs w:val="17"/>
              </w:rPr>
              <w:t xml:space="preserve"> → One line in an APC pre-release means it is there for a reason. IFRS 11 against IAS 28, related-party transactions with Axion, and under IFRS 18 it sits in investing, outside operating profit.</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Undeveloped land — “plans have evolved” and it remains undeveloped “while management considers how best to use it”</w:t>
            </w:r>
            <w:r>
              <w:rPr>
                <w:rFonts w:ascii="Arial" w:cs="Arial" w:eastAsia="Arial" w:hAnsi="Arial"/>
                <w:b w:val="false"/>
                <w:bCs w:val="false"/>
                <w:i w:val="false"/>
                <w:iCs w:val="false"/>
                <w:color w:val="000000"/>
                <w:sz w:val="17"/>
                <w:szCs w:val="17"/>
              </w:rPr>
              <w:t xml:space="preserve"> → Almost the exact IAS 40 wording for land held for a currently undetermined future use, which is investment property. Prepare all four possible homes, the transfer journals both ways, and the deferred tax. Expect the plan to change again on the day.</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MDMC</w:t>
            </w:r>
          </w:p>
          <w:p>
            <w:pPr>
              <w:keepNext w:val="false"/>
              <w:spacing w:after="40" w:before="0" w:line="250" w:lineRule="auto"/>
            </w:pPr>
            <w:r>
              <w:rPr>
                <w:rFonts w:ascii="Arial" w:cs="Arial" w:eastAsia="Arial" w:hAnsi="Arial"/>
                <w:b w:val="false"/>
                <w:bCs w:val="false"/>
                <w:i w:val="false"/>
                <w:iCs w:val="false"/>
                <w:color w:val="000000"/>
                <w:sz w:val="17"/>
                <w:szCs w:val="17"/>
              </w:rPr>
              <w:t xml:space="preserve">FM — debt capacity</w:t>
            </w:r>
          </w:p>
          <w:p>
            <w:pPr>
              <w:keepNext w:val="false"/>
              <w:spacing w:after="0" w:before="0" w:line="250" w:lineRule="auto"/>
            </w:pPr>
            <w:r>
              <w:rPr>
                <w:rFonts w:ascii="Arial" w:cs="Arial" w:eastAsia="Arial" w:hAnsi="Arial"/>
                <w:b w:val="false"/>
                <w:bCs w:val="false"/>
                <w:i w:val="false"/>
                <w:iCs w:val="false"/>
                <w:color w:val="000000"/>
                <w:sz w:val="17"/>
                <w:szCs w:val="17"/>
              </w:rPr>
              <w:t xml:space="preserve">FR — IAS 40 / IAS 28</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16</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6 — IFRS 18</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Scoped in: classification and presentation of income and expenses, how main business activities affect classification, and understanding management-defined performance measures</w:t>
            </w:r>
            <w:r>
              <w:rPr>
                <w:rFonts w:ascii="Arial" w:cs="Arial" w:eastAsia="Arial" w:hAnsi="Arial"/>
                <w:b w:val="false"/>
                <w:bCs w:val="false"/>
                <w:i w:val="false"/>
                <w:iCs w:val="false"/>
                <w:color w:val="000000"/>
                <w:sz w:val="17"/>
                <w:szCs w:val="17"/>
              </w:rPr>
              <w:t xml:space="preserve"> → Research exactly this and no wider. Know the five categories, the two required subtotals, and where Axion’s items land.</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Scoped out: the detailed disclosure requirements for those measures, and transition</w:t>
            </w:r>
            <w:r>
              <w:rPr>
                <w:rFonts w:ascii="Arial" w:cs="Arial" w:eastAsia="Arial" w:hAnsi="Arial"/>
                <w:b w:val="false"/>
                <w:bCs w:val="false"/>
                <w:i w:val="false"/>
                <w:iCs w:val="false"/>
                <w:color w:val="000000"/>
                <w:sz w:val="17"/>
                <w:szCs w:val="17"/>
              </w:rPr>
              <w:t xml:space="preserve"> → Do not write about them. Writing outside the stated scope was the biggest single cause of lost grades in the last two exams.</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reporting team is doing an initial remapping of FY2026 and I’ll send that through”</w:t>
            </w:r>
            <w:r>
              <w:rPr>
                <w:rFonts w:ascii="Arial" w:cs="Arial" w:eastAsia="Arial" w:hAnsi="Arial"/>
                <w:b w:val="false"/>
                <w:bCs w:val="false"/>
                <w:i w:val="false"/>
                <w:iCs w:val="false"/>
                <w:color w:val="000000"/>
                <w:sz w:val="17"/>
                <w:szCs w:val="17"/>
              </w:rPr>
              <w:t xml:space="preserve"> → Expect the remapped income statement on the day and expect to review it line by line — what is correct, what is misclassified and why, what is missing. Practise this.</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Ubuntu and Horizon benchmark Axion against listed infrastructure businesses</w:t>
            </w:r>
            <w:r>
              <w:rPr>
                <w:rFonts w:ascii="Arial" w:cs="Arial" w:eastAsia="Arial" w:hAnsi="Arial"/>
                <w:b w:val="false"/>
                <w:bCs w:val="false"/>
                <w:i w:val="false"/>
                <w:iCs w:val="false"/>
                <w:color w:val="000000"/>
                <w:sz w:val="17"/>
                <w:szCs w:val="17"/>
              </w:rPr>
              <w:t xml:space="preserve"> → Explains why presentation matters commercially, not just technically, while the funding review is live.</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FR — IFRS 18</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17</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6 — JHB4 project pack</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R1.2bn project facility; undeployed funds sit on deposit at rates below the facility rate</w:t>
            </w:r>
            <w:r>
              <w:rPr>
                <w:rFonts w:ascii="Arial" w:cs="Arial" w:eastAsia="Arial" w:hAnsi="Arial"/>
                <w:b w:val="false"/>
                <w:bCs w:val="false"/>
                <w:i w:val="false"/>
                <w:iCs w:val="false"/>
                <w:color w:val="000000"/>
                <w:sz w:val="17"/>
                <w:szCs w:val="17"/>
              </w:rPr>
              <w:t xml:space="preserve"> → This is IAS 23: on specific borrowings you capitalise actual borrowing costs </w:t>
            </w:r>
            <w:r>
              <w:rPr>
                <w:rFonts w:ascii="Arial" w:cs="Arial" w:eastAsia="Arial" w:hAnsi="Arial"/>
                <w:b/>
                <w:bCs/>
                <w:i w:val="false"/>
                <w:iCs w:val="false"/>
                <w:color w:val="000000"/>
                <w:sz w:val="17"/>
                <w:szCs w:val="17"/>
              </w:rPr>
              <w:t xml:space="preserve">less</w:t>
            </w:r>
            <w:r>
              <w:rPr>
                <w:rFonts w:ascii="Arial" w:cs="Arial" w:eastAsia="Arial" w:hAnsi="Arial"/>
                <w:b w:val="false"/>
                <w:bCs w:val="false"/>
                <w:i w:val="false"/>
                <w:iCs w:val="false"/>
                <w:color w:val="000000"/>
                <w:sz w:val="17"/>
                <w:szCs w:val="17"/>
              </w:rPr>
              <w:t xml:space="preserve"> investment income earned on temporarily investing those funds. Be able to compute it for a given drawdown and deposit profile.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grid connection timing is critical and the facility is brought into service in phases</w:t>
            </w:r>
            <w:r>
              <w:rPr>
                <w:rFonts w:ascii="Arial" w:cs="Arial" w:eastAsia="Arial" w:hAnsi="Arial"/>
                <w:b w:val="false"/>
                <w:bCs w:val="false"/>
                <w:i w:val="false"/>
                <w:iCs w:val="false"/>
                <w:color w:val="000000"/>
                <w:sz w:val="17"/>
                <w:szCs w:val="17"/>
              </w:rPr>
              <w:t xml:space="preserve"> → Suspension and cessation of capitalisation. If the building is complete but cannot operate awaiting connection, does capitalisation stop?</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The scorecard measure “net interest not capitalised” is reported internally and is not used externally</w:t>
            </w:r>
            <w:r>
              <w:rPr>
                <w:rFonts w:ascii="Arial" w:cs="Arial" w:eastAsia="Arial" w:hAnsi="Arial"/>
                <w:b w:val="false"/>
                <w:bCs w:val="false"/>
                <w:i w:val="false"/>
                <w:iCs w:val="false"/>
                <w:color w:val="000000"/>
                <w:sz w:val="17"/>
                <w:szCs w:val="17"/>
              </w:rPr>
              <w:t xml:space="preserve"> → Two consequences, and they connect the two halves of Document 6. It nets an investing item against a financing item, which IFRS 18 puts in different categories. And because it is not used in external communications, it is </w:t>
            </w:r>
            <w:r>
              <w:rPr>
                <w:rFonts w:ascii="Arial" w:cs="Arial" w:eastAsia="Arial" w:hAnsi="Arial"/>
                <w:b/>
                <w:bCs/>
                <w:i w:val="false"/>
                <w:iCs w:val="false"/>
                <w:color w:val="000000"/>
                <w:sz w:val="17"/>
                <w:szCs w:val="17"/>
              </w:rPr>
              <w:t xml:space="preserve">not</w:t>
            </w:r>
            <w:r>
              <w:rPr>
                <w:rFonts w:ascii="Arial" w:cs="Arial" w:eastAsia="Arial" w:hAnsi="Arial"/>
                <w:b w:val="false"/>
                <w:bCs w:val="false"/>
                <w:i w:val="false"/>
                <w:iCs w:val="false"/>
                <w:color w:val="000000"/>
                <w:sz w:val="17"/>
                <w:szCs w:val="17"/>
              </w:rPr>
              <w:t xml:space="preserve"> a management-defined performance measure.</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Treasury negotiates the facility terms; the delivery team decides drawdown timing and is measured on the result</w:t>
            </w:r>
            <w:r>
              <w:rPr>
                <w:rFonts w:ascii="Arial" w:cs="Arial" w:eastAsia="Arial" w:hAnsi="Arial"/>
                <w:b w:val="false"/>
                <w:bCs w:val="false"/>
                <w:i w:val="false"/>
                <w:iCs w:val="false"/>
                <w:color w:val="000000"/>
                <w:sz w:val="17"/>
                <w:szCs w:val="17"/>
              </w:rPr>
              <w:t xml:space="preserve"> → A KPI design question. The team controls timing but not the rate spread, and the measure creates a perverse incentive to delay drawdowns and starve the construction programme.</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FR — IAS 23</w:t>
            </w:r>
          </w:p>
          <w:p>
            <w:pPr>
              <w:keepNext w:val="false"/>
              <w:spacing w:after="40" w:before="0" w:line="250" w:lineRule="auto"/>
            </w:pPr>
            <w:r>
              <w:rPr>
                <w:rFonts w:ascii="Arial" w:cs="Arial" w:eastAsia="Arial" w:hAnsi="Arial"/>
                <w:b w:val="false"/>
                <w:bCs w:val="false"/>
                <w:i w:val="false"/>
                <w:iCs w:val="false"/>
                <w:color w:val="000000"/>
                <w:sz w:val="17"/>
                <w:szCs w:val="17"/>
              </w:rPr>
              <w:t xml:space="preserve">FR — IFRS 18</w:t>
            </w:r>
          </w:p>
          <w:p>
            <w:pPr>
              <w:keepNext w:val="false"/>
              <w:spacing w:after="0" w:before="0" w:line="250" w:lineRule="auto"/>
            </w:pPr>
            <w:r>
              <w:rPr>
                <w:rFonts w:ascii="Arial" w:cs="Arial" w:eastAsia="Arial" w:hAnsi="Arial"/>
                <w:b w:val="false"/>
                <w:bCs w:val="false"/>
                <w:i w:val="false"/>
                <w:iCs w:val="false"/>
                <w:color w:val="000000"/>
                <w:sz w:val="17"/>
                <w:szCs w:val="17"/>
              </w:rPr>
              <w:t xml:space="preserve">MDMC — KPI design</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18</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7 — Teams message</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 live link to the SARS Guide on allowances for assets used in generating electricity from renewable sources</w:t>
            </w:r>
            <w:r>
              <w:rPr>
                <w:rFonts w:ascii="Arial" w:cs="Arial" w:eastAsia="Arial" w:hAnsi="Arial"/>
                <w:b w:val="false"/>
                <w:bCs w:val="false"/>
                <w:i w:val="false"/>
                <w:iCs w:val="false"/>
                <w:color w:val="000000"/>
                <w:sz w:val="17"/>
                <w:szCs w:val="17"/>
              </w:rPr>
              <w:t xml:space="preserve"> → The strongest single content trigger in the pack — a named, hyperlinked source is always examined. It covers sections 12B, 12BA and 12U of the Income Tax Act.</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Section 12BA’s enhanced 125% allowance applied only to assets brought into use between 1 March 2023 and 28 February 2025</w:t>
            </w:r>
            <w:r>
              <w:rPr>
                <w:rFonts w:ascii="Arial" w:cs="Arial" w:eastAsia="Arial" w:hAnsi="Arial"/>
                <w:b w:val="false"/>
                <w:bCs w:val="false"/>
                <w:i w:val="false"/>
                <w:iCs w:val="false"/>
                <w:color w:val="000000"/>
                <w:sz w:val="17"/>
                <w:szCs w:val="17"/>
              </w:rPr>
              <w:t xml:space="preserve"> → That window has closed. Being able to say so, rather than claiming the allowance, is the kind of precision that decides a tax task. Confirm against the current guide during the week.</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Marked strictly confidential, for Investment Committee use only</w:t>
            </w:r>
            <w:r>
              <w:rPr>
                <w:rFonts w:ascii="Arial" w:cs="Arial" w:eastAsia="Arial" w:hAnsi="Arial"/>
                <w:b w:val="false"/>
                <w:bCs w:val="false"/>
                <w:i w:val="false"/>
                <w:iCs w:val="false"/>
                <w:color w:val="000000"/>
                <w:sz w:val="17"/>
                <w:szCs w:val="17"/>
              </w:rPr>
              <w:t xml:space="preserve"> → A quiet ethics hook — who may see this, and what we do if asked to share it.</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Tax — s12B, s12BA, s12U</w:t>
            </w:r>
          </w:p>
          <w:p>
            <w:pPr>
              <w:keepNext w:val="false"/>
              <w:spacing w:after="0" w:before="0" w:line="250" w:lineRule="auto"/>
            </w:pPr>
            <w:r>
              <w:rPr>
                <w:rFonts w:ascii="Arial" w:cs="Arial" w:eastAsia="Arial" w:hAnsi="Arial"/>
                <w:b w:val="false"/>
                <w:bCs w:val="false"/>
                <w:i w:val="false"/>
                <w:iCs w:val="false"/>
                <w:color w:val="000000"/>
                <w:sz w:val="17"/>
                <w:szCs w:val="17"/>
              </w:rPr>
              <w:t xml:space="preserve">Ethics</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19</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7 — Powering Axion</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JHB1 is piloting an AI tool that prioritises maintenance, and the Audit &amp; Risk Committee has requested assurance over the processes and controls before wider rollout</w:t>
            </w:r>
            <w:r>
              <w:rPr>
                <w:rFonts w:ascii="Arial" w:cs="Arial" w:eastAsia="Arial" w:hAnsi="Arial"/>
                <w:b w:val="false"/>
                <w:bCs w:val="false"/>
                <w:i w:val="false"/>
                <w:iCs w:val="false"/>
                <w:color w:val="000000"/>
                <w:sz w:val="17"/>
                <w:szCs w:val="17"/>
              </w:rPr>
              <w:t xml:space="preserve"> → A control and assurance task waiting to happen. Prepare the process end to end, the risks (data quality, model drift, false negatives against the 99.999% commitment), specific actionable controls, and what an assurance engagement would involve.</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Electricity is both a top operating cost and the biggest constraint on expansion, with long connection lead times</w:t>
            </w:r>
            <w:r>
              <w:rPr>
                <w:rFonts w:ascii="Arial" w:cs="Arial" w:eastAsia="Arial" w:hAnsi="Arial"/>
                <w:b w:val="false"/>
                <w:bCs w:val="false"/>
                <w:i w:val="false"/>
                <w:iCs w:val="false"/>
                <w:color w:val="000000"/>
                <w:sz w:val="17"/>
                <w:szCs w:val="17"/>
              </w:rPr>
              <w:t xml:space="preserve"> → Power is not a side issue — it gates the entire growth strategy. Any recommendation on pace of growth has to deal with it.</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Renewable generation does not replace resilience infrastructure</w:t>
            </w:r>
            <w:r>
              <w:rPr>
                <w:rFonts w:ascii="Arial" w:cs="Arial" w:eastAsia="Arial" w:hAnsi="Arial"/>
                <w:b w:val="false"/>
                <w:bCs w:val="false"/>
                <w:i w:val="false"/>
                <w:iCs w:val="false"/>
                <w:color w:val="000000"/>
                <w:sz w:val="17"/>
                <w:szCs w:val="17"/>
              </w:rPr>
              <w:t xml:space="preserve"> → Grid connections, UPS, batteries and generators are still needed. Any renewable option must be costed on top of existing infrastructure, not instead of it.</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Audit / IT governance</w:t>
            </w:r>
          </w:p>
          <w:p>
            <w:pPr>
              <w:keepNext w:val="false"/>
              <w:spacing w:after="40" w:before="0" w:line="250" w:lineRule="auto"/>
            </w:pPr>
            <w:r>
              <w:rPr>
                <w:rFonts w:ascii="Arial" w:cs="Arial" w:eastAsia="Arial" w:hAnsi="Arial"/>
                <w:b w:val="false"/>
                <w:bCs w:val="false"/>
                <w:i w:val="false"/>
                <w:iCs w:val="false"/>
                <w:color w:val="000000"/>
                <w:sz w:val="17"/>
                <w:szCs w:val="17"/>
              </w:rPr>
              <w:t xml:space="preserve">Risk</w:t>
            </w:r>
          </w:p>
          <w:p>
            <w:pPr>
              <w:keepNext w:val="false"/>
              <w:spacing w:after="0" w:before="0" w:line="250" w:lineRule="auto"/>
            </w:pPr>
            <w:r>
              <w:rPr>
                <w:rFonts w:ascii="Arial" w:cs="Arial" w:eastAsia="Arial" w:hAnsi="Arial"/>
                <w:b w:val="false"/>
                <w:bCs w:val="false"/>
                <w:i w:val="false"/>
                <w:iCs w:val="false"/>
                <w:color w:val="000000"/>
                <w:sz w:val="17"/>
                <w:szCs w:val="17"/>
              </w:rPr>
              <w:t xml:space="preserve">Strategy</w:t>
            </w:r>
          </w:p>
        </w:tc>
      </w:tr>
      <w:tr>
        <w:tc>
          <w:tcPr>
            <w:tcW w:type="dxa" w:w="515"/>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20</w:t>
            </w:r>
          </w:p>
        </w:tc>
        <w:tc>
          <w:tcPr>
            <w:tcW w:type="dxa" w:w="1751"/>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0" w:before="0" w:line="250" w:lineRule="auto"/>
            </w:pPr>
            <w:r>
              <w:rPr>
                <w:rFonts w:ascii="Arial" w:cs="Arial" w:eastAsia="Arial" w:hAnsi="Arial"/>
                <w:b w:val="false"/>
                <w:bCs w:val="false"/>
                <w:i w:val="false"/>
                <w:iCs w:val="false"/>
                <w:color w:val="000000"/>
                <w:sz w:val="17"/>
                <w:szCs w:val="17"/>
              </w:rPr>
              <w:t xml:space="preserve">Doc 7 — Renewable options</w:t>
            </w:r>
          </w:p>
        </w:tc>
        <w:tc>
          <w:tcPr>
            <w:tcW w:type="dxa" w:w="6386"/>
            <w:tcBorders>
              <w:top w:val="single" w:color="888888" w:sz="4"/>
              <w:left w:val="single" w:color="888888" w:sz="4"/>
              <w:bottom w:val="single" w:color="888888" w:sz="4"/>
              <w:right w:val="single" w:color="888888" w:sz="4"/>
            </w:tcBorders>
            <w:tcMar>
              <w:top w:type="dxa" w:w="60"/>
              <w:left w:type="dxa" w:w="80"/>
              <w:bottom w:type="dxa" w:w="60"/>
              <w:right w:type="dxa" w:w="80"/>
            </w:tcMar>
          </w:tcPr>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Three routes: more PPAs, direct investment in generation with a technical partner, or off-site generation with wheeling</w:t>
            </w:r>
            <w:r>
              <w:rPr>
                <w:rFonts w:ascii="Arial" w:cs="Arial" w:eastAsia="Arial" w:hAnsi="Arial"/>
                <w:b w:val="false"/>
                <w:bCs w:val="false"/>
                <w:i w:val="false"/>
                <w:iCs w:val="false"/>
                <w:color w:val="000000"/>
                <w:sz w:val="17"/>
                <w:szCs w:val="17"/>
              </w:rPr>
              <w:t xml:space="preserve"> → Treat it as a make-or-buy decision and build the relevant cost comparison per kWh, including capital.</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A PPA fixes price, volume and supply terms contractually</w:t>
            </w:r>
            <w:r>
              <w:rPr>
                <w:rFonts w:ascii="Arial" w:cs="Arial" w:eastAsia="Arial" w:hAnsi="Arial"/>
                <w:b w:val="false"/>
                <w:bCs w:val="false"/>
                <w:i w:val="false"/>
                <w:iCs w:val="false"/>
                <w:color w:val="000000"/>
                <w:sz w:val="17"/>
                <w:szCs w:val="17"/>
              </w:rPr>
              <w:t xml:space="preserve"> → It may contain a </w:t>
            </w:r>
            <w:r>
              <w:rPr>
                <w:rFonts w:ascii="Arial" w:cs="Arial" w:eastAsia="Arial" w:hAnsi="Arial"/>
                <w:b/>
                <w:bCs/>
                <w:i w:val="false"/>
                <w:iCs w:val="false"/>
                <w:color w:val="000000"/>
                <w:sz w:val="17"/>
                <w:szCs w:val="17"/>
              </w:rPr>
              <w:t xml:space="preserve">lease</w:t>
            </w:r>
            <w:r>
              <w:rPr>
                <w:rFonts w:ascii="Arial" w:cs="Arial" w:eastAsia="Arial" w:hAnsi="Arial"/>
                <w:b w:val="false"/>
                <w:bCs w:val="false"/>
                <w:i w:val="false"/>
                <w:iCs w:val="false"/>
                <w:color w:val="000000"/>
                <w:sz w:val="17"/>
                <w:szCs w:val="17"/>
              </w:rPr>
              <w:t xml:space="preserve"> under IFRS 16 if there is an identified generation asset, or be a </w:t>
            </w:r>
            <w:r>
              <w:rPr>
                <w:rFonts w:ascii="Arial" w:cs="Arial" w:eastAsia="Arial" w:hAnsi="Arial"/>
                <w:b/>
                <w:bCs/>
                <w:i w:val="false"/>
                <w:iCs w:val="false"/>
                <w:color w:val="000000"/>
                <w:sz w:val="17"/>
                <w:szCs w:val="17"/>
              </w:rPr>
              <w:t xml:space="preserve">derivative</w:t>
            </w:r>
            <w:r>
              <w:rPr>
                <w:rFonts w:ascii="Arial" w:cs="Arial" w:eastAsia="Arial" w:hAnsi="Arial"/>
                <w:b w:val="false"/>
                <w:bCs w:val="false"/>
                <w:i w:val="false"/>
                <w:iCs w:val="false"/>
                <w:color w:val="000000"/>
                <w:sz w:val="17"/>
                <w:szCs w:val="17"/>
              </w:rPr>
              <w:t xml:space="preserve"> under IFRS 9 unless the own-use exemption applies. Know the difference between a physical and a virtual PPA.</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Direct investment “with an experienced technical partner”, sharing risks and returns and with involvement in governance</w:t>
            </w:r>
            <w:r>
              <w:rPr>
                <w:rFonts w:ascii="Arial" w:cs="Arial" w:eastAsia="Arial" w:hAnsi="Arial"/>
                <w:b w:val="false"/>
                <w:bCs w:val="false"/>
                <w:i w:val="false"/>
                <w:iCs w:val="false"/>
                <w:color w:val="000000"/>
                <w:sz w:val="17"/>
                <w:szCs w:val="17"/>
              </w:rPr>
              <w:t xml:space="preserve"> → Straight into IFRS 10 control, IFRS 11 joint operation against joint venture, or IAS 28. This is exactly what the August paper tested — know the decision tree and the accounting consequence of each.</w:t>
            </w:r>
          </w:p>
          <w:p>
            <w:pPr>
              <w:pStyle w:val="ListParagraph"/>
              <w:numPr>
                <w:ilvl w:val="0"/>
                <w:numId w:val="2"/>
              </w:numPr>
              <w:spacing w:after="40" w:before="0" w:line="250" w:lineRule="auto"/>
            </w:pPr>
            <w:r>
              <w:rPr>
                <w:rFonts w:ascii="Arial" w:cs="Arial" w:eastAsia="Arial" w:hAnsi="Arial"/>
                <w:b/>
                <w:bCs/>
                <w:i w:val="false"/>
                <w:iCs w:val="false"/>
                <w:color w:val="000000"/>
                <w:sz w:val="17"/>
                <w:szCs w:val="17"/>
              </w:rPr>
              <w:t xml:space="preserve">Purchase commitments may begin before a new facility is fully utilised</w:t>
            </w:r>
            <w:r>
              <w:rPr>
                <w:rFonts w:ascii="Arial" w:cs="Arial" w:eastAsia="Arial" w:hAnsi="Arial"/>
                <w:b w:val="false"/>
                <w:bCs w:val="false"/>
                <w:i w:val="false"/>
                <w:iCs w:val="false"/>
                <w:color w:val="000000"/>
                <w:sz w:val="17"/>
                <w:szCs w:val="17"/>
              </w:rPr>
              <w:t xml:space="preserve"> → Onerous contract risk under IAS 37. The pack states the risk itself, so it expects us to see it.</w:t>
            </w:r>
          </w:p>
          <w:p>
            <w:pPr>
              <w:pStyle w:val="ListParagraph"/>
              <w:numPr>
                <w:ilvl w:val="0"/>
                <w:numId w:val="2"/>
              </w:numPr>
              <w:spacing w:after="0" w:before="0" w:line="250" w:lineRule="auto"/>
            </w:pPr>
            <w:r>
              <w:rPr>
                <w:rFonts w:ascii="Arial" w:cs="Arial" w:eastAsia="Arial" w:hAnsi="Arial"/>
                <w:b/>
                <w:bCs/>
                <w:i w:val="false"/>
                <w:iCs w:val="false"/>
                <w:color w:val="000000"/>
                <w:sz w:val="17"/>
                <w:szCs w:val="17"/>
              </w:rPr>
              <w:t xml:space="preserve">Wheeling brings network charges, transmission losses, curtailment, and electricity generated but not used</w:t>
            </w:r>
            <w:r>
              <w:rPr>
                <w:rFonts w:ascii="Arial" w:cs="Arial" w:eastAsia="Arial" w:hAnsi="Arial"/>
                <w:b w:val="false"/>
                <w:bCs w:val="false"/>
                <w:i w:val="false"/>
                <w:iCs w:val="false"/>
                <w:color w:val="000000"/>
                <w:sz w:val="17"/>
                <w:szCs w:val="17"/>
              </w:rPr>
              <w:t xml:space="preserve"> → For each one: who bears the risk, and how is it accounted for?</w:t>
            </w:r>
          </w:p>
        </w:tc>
        <w:tc>
          <w:tcPr>
            <w:tcW w:type="dxa" w:w="1648"/>
            <w:tcBorders>
              <w:top w:val="single" w:color="888888" w:sz="4"/>
              <w:left w:val="single" w:color="888888" w:sz="4"/>
              <w:bottom w:val="single" w:color="888888" w:sz="4"/>
              <w:right w:val="single" w:color="888888" w:sz="4"/>
            </w:tcBorders>
            <w:tcMar>
              <w:top w:type="dxa" w:w="60"/>
              <w:left w:type="dxa" w:w="80"/>
              <w:bottom w:type="dxa" w:w="60"/>
              <w:right w:type="dxa" w:w="80"/>
            </w:tcMar>
          </w:tcPr>
          <w:p>
            <w:pPr>
              <w:keepNext w:val="false"/>
              <w:spacing w:after="40" w:before="0" w:line="250" w:lineRule="auto"/>
            </w:pPr>
            <w:r>
              <w:rPr>
                <w:rFonts w:ascii="Arial" w:cs="Arial" w:eastAsia="Arial" w:hAnsi="Arial"/>
                <w:b w:val="false"/>
                <w:bCs w:val="false"/>
                <w:i w:val="false"/>
                <w:iCs w:val="false"/>
                <w:color w:val="000000"/>
                <w:sz w:val="17"/>
                <w:szCs w:val="17"/>
              </w:rPr>
              <w:t xml:space="preserve">FM — appraisal</w:t>
            </w:r>
          </w:p>
          <w:p>
            <w:pPr>
              <w:keepNext w:val="false"/>
              <w:spacing w:after="40" w:before="0" w:line="250" w:lineRule="auto"/>
            </w:pPr>
            <w:r>
              <w:rPr>
                <w:rFonts w:ascii="Arial" w:cs="Arial" w:eastAsia="Arial" w:hAnsi="Arial"/>
                <w:b w:val="false"/>
                <w:bCs w:val="false"/>
                <w:i w:val="false"/>
                <w:iCs w:val="false"/>
                <w:color w:val="000000"/>
                <w:sz w:val="17"/>
                <w:szCs w:val="17"/>
              </w:rPr>
              <w:t xml:space="preserve">FR — IFRS 16 / 9 / 11</w:t>
            </w:r>
          </w:p>
          <w:p>
            <w:pPr>
              <w:keepNext w:val="false"/>
              <w:spacing w:after="40" w:before="0" w:line="250" w:lineRule="auto"/>
            </w:pPr>
            <w:r>
              <w:rPr>
                <w:rFonts w:ascii="Arial" w:cs="Arial" w:eastAsia="Arial" w:hAnsi="Arial"/>
                <w:b w:val="false"/>
                <w:bCs w:val="false"/>
                <w:i w:val="false"/>
                <w:iCs w:val="false"/>
                <w:color w:val="000000"/>
                <w:sz w:val="17"/>
                <w:szCs w:val="17"/>
              </w:rPr>
              <w:t xml:space="preserve">Tax</w:t>
            </w:r>
          </w:p>
          <w:p>
            <w:pPr>
              <w:keepNext w:val="false"/>
              <w:spacing w:after="0" w:before="0" w:line="250" w:lineRule="auto"/>
            </w:pPr>
            <w:r>
              <w:rPr>
                <w:rFonts w:ascii="Arial" w:cs="Arial" w:eastAsia="Arial" w:hAnsi="Arial"/>
                <w:b w:val="false"/>
                <w:bCs w:val="false"/>
                <w:i w:val="false"/>
                <w:iCs w:val="false"/>
                <w:color w:val="000000"/>
                <w:sz w:val="17"/>
                <w:szCs w:val="17"/>
              </w:rPr>
              <w:t xml:space="preserve">ESG</w:t>
            </w:r>
          </w:p>
        </w:tc>
      </w:tr>
    </w:tbl>
    <w:p>
      <w:pPr>
        <w:keepNext w:val="false"/>
        <w:spacing w:after="0" w:before="0" w:line="250" w:lineRule="auto"/>
      </w:pPr>
      <w:r>
        <w:rPr>
          <w:rFonts w:ascii="Arial" w:cs="Arial" w:eastAsia="Arial" w:hAnsi="Arial"/>
          <w:sz w:val="12"/>
          <w:szCs w:val="12"/>
        </w:rPr>
        <w:t xml:space="preserve"/>
      </w:r>
    </w:p>
    <w:sectPr>
      <w:pgSz w:w="11906" w:h="16838" w:orient="portrait"/>
      <w:pgMar w:top="794" w:right="792" w:bottom="794"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2026-09-18T16:43:29.175Z</dcterms:created>
  <dcterms:modified xsi:type="dcterms:W3CDTF">2026-09-18T16:43:29.188Z</dcterms:modified>
</cp:coreProperties>
</file>

<file path=docProps/custom.xml><?xml version="1.0" encoding="utf-8"?>
<Properties xmlns="http://schemas.openxmlformats.org/officeDocument/2006/custom-properties" xmlns:vt="http://schemas.openxmlformats.org/officeDocument/2006/docPropsVTypes"/>
</file>