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4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4"/>
          <w:szCs w:val="34"/>
        </w:rPr>
        <w:t xml:space="preserve">Axion — Governance, Board and Committees</w:t>
      </w:r>
    </w:p>
    <w:p>
      <w:pPr>
        <w:keepNext w:val="false"/>
        <w:spacing w:after="140" w:before="0" w:line="25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Document 4, pages 11 and 12  |  APC 2026 September Qualifying Exam  |  Axion Digital Infrastructure (Pty) Ltd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00"/>
      </w:tblGrid>
      <w:tr>
        <w:tc>
          <w:tcPr>
            <w:tcW w:type="dxa" w:w="15200"/>
            <w:tcBorders>
              <w:top w:val="single" w:color="888888" w:sz="4" w:space="6"/>
              <w:left w:val="single" w:color="888888" w:sz="4" w:space="6"/>
              <w:bottom w:val="single" w:color="888888" w:sz="4" w:space="6"/>
              <w:right w:val="single" w:color="888888" w:sz="4" w:space="6"/>
            </w:tcBorders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Scope.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ownership and governance extract in Document 4, pages 11 and 12. Each trigger is set out 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 → risk → standard and section → application to Axion → what to do or ask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Know which source binds and which guides.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Companies Act and Regulations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are law and must be complied with.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is applied on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apply and explain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basis, and Document 4 says only that Axion has adopted practices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“informed by”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King V.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SAICA Code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binds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registered member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full; for a director who is not a CA(SA), apply King V first and supplement with the fundamental principles.</w:t>
            </w:r>
          </w:p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 King V references.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King V was issued on 31 October 2025 and replaces King IV. It has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13 principles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consolidated from King IV’s 17, retains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apply and explain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is effective for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financial years beginning on or after 1 January 2026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This document cites King V by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subject matter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not by principle or practice number, because the numbering could not be verified against the Code text.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Confirm the principle numbers against the King V Code before quoting them.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Contents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A.  Axion’s status — what law actually applies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2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B.  The facts in Document 4, at a glance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3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C.  Board composition and independence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4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D.  Conflicts of interest — Van de Wyk and the Investment Committee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5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E.  The chair — capacity and committee roles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7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F.  Audit and Risk Committee — Mthanda, KZL Inc and cooling off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8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G.  The committees — statutory against voluntary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10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H.  Shareholders’ agreement, nomination rights and a new investor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12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I.   Delegation, and from founder-led to institutionally backed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13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J.   The SAICA Code — Sarah Naidoo CA(SA), and you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13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K.  How to answer a governance or ethics required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15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L.  Information required on the day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15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M. Sources and verification status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16</w:t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A.  Axion’s status — what law actually applies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Most of the governance analysis turns on this. Axion is a private company, so several provisions that candidates reach for do not apply to it, and one that they overlook does.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4560"/>
        <w:gridCol w:w="4560"/>
        <w:gridCol w:w="380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Test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rule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Axion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Consequence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Company type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private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is one whose MOI prohibits it offering securities to the public and restricts the transferability of its shares.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 Digital Infrastructure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(Pty) Ltd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Document 4 states “Axion remains privately held” and is “not currently listed”.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Provisions limited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public and state-owned companies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do not apply automatically — most importantly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s94 audit committees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Public interest score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Reg 26(2)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Calculated at each financial year end as the sum of: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average number of employees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during the year;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one point for every R1 million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(or part)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third-party liability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at year end;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one point for every R1 million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(or part)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turnover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during the year; and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one point for every individual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with a direct or indirect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beneficial interest in the issued securities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On the FY2026 figures elsewhere in the pre-release: roughly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300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employees,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R6 850m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of liabilities,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R2 620m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of revenue, plus the shareholders.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Indicative PIS: well above 9 000.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exact figure needs third-party liability rather than total liabilities.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Every PIS threshold in the Regulations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comfortably exceeded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This is the single most useful fact to establish early.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Reg 28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 private company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must be audited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if its public interest score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350 or more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Also if it holds assets in a fiduciary capacity above R5 million, or if the score is 100 to 349 and the statements were internally compiled.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PIS far exceeds 350.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KZL Inc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is named as external auditor in Document 2.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audit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compulsory, not voluntary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Auditor independence is therefore a statutory matter, not a choice.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Social and ethics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s72 and Reg 43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Required for every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state-owned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every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listed public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any other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with a public interest score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above 500 in any two of the previous five years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 43(4): the committee must comprise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 less than three directors or prescribed officers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at least one of whom must be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director who is not involved in day-to-day management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has not been so involved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within the previous three financial years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PIS is far above 500, and Axion has grown steadily, so the two-in-five-years test is met.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 has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Social, Ethics &amp; Sustainable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chaired by Dr September.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This committee is a statutory requirement, not a King V choice.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Test its composition against Reg 43(4) and its functions against Reg 43(5).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Audit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s94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public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state-owned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must appoint an audit committee.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Any other company must do so only if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its MOI requires 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s94(4) sets independence requirements for members of a statutory audit committee.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 is a private company, so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s94 does not apply of its own force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Audit &amp; Risk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is therefore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King V and board-driven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committee unless the MOI or the shareholders’ agreement requires one.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 common error is to apply s94 to Axion.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Establish the MOI position first. If s94 does not apply, the s94(4) independence tests are persuasive but not binding.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Issued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31 October 2025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replacing King IV.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13 principles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consolidated from King IV’s 17.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Apply and explain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: the principles are applied, and the practices adopted to give effect to them are explained.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Effective for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financial years beginning on or after 1 January 2026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early adoption encouraged.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4 says the board has adopted practices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“informed by”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King V — not that Axion applies King V in full.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Axion’s year ends 30 June, so its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first financial year beginning on or after 1 January 2026 is FY2027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(1 July 2026 to 30 June 2027).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Treat King V 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principles and recommended practices, not rules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A departure is not a breach; it is something to be explained.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King V disclosure obligation reaches Axion in FY2027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which is a concrete readiness point.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SAICA Code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Binds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registered member or associate of SAICA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full.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For a person in a governance role who is not a member, apply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 first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supplement with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fundamental principles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especially objectivity, integrity and confidentiality.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Sarah Naidoo is described as CA(SA)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the Code applies to her in full, as a professional accountant in business (Part 2).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other directors are not described as CA(SA).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You are a CA(SA)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the Code applies to you.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 not apply the Code to a director who is not a member. Apply King V, and use the fundamental principles as supporting standards of conduct.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B.  The facts in Document 4, at a glance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8"/>
        <w:gridCol w:w="3344"/>
        <w:gridCol w:w="4104"/>
        <w:gridCol w:w="4104"/>
      </w:tblGrid>
      <w:tr>
        <w:trPr>
          <w:tblHeader/>
        </w:trP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Position as stated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Independence on the face of Document 4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Committee roles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Dr Lindiwe September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Independent non-executive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Chair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Stated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Social, Ethics &amp; Sustainable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Remuneration &amp; Nomination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board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Kabelo Moleke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Founder &amp;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CEO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Executive.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Also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18% shareholder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None stated.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Sarah Naidoo CA(SA)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CFO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Executive.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CA(SA)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the SAICA Code applies.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None stated.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David Low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Founder &amp;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non-executive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director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a founder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7% shareholder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None stated.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Thandi Mthanda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non-executive director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Stated independent.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Former audit partner and CFO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of which firm, and how long ago?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Audit &amp; Risk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Michael van de Wyk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Non-executive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director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investment director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Ubuntu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35%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shareholder.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Investment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Aisha Kahn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Non-executive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director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partner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Horizon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30%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shareholder.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None stated.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The board comprises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seven directors: two executive directors and five non-executive directors, of whom two are described as independent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. Document 4 states that there is “a balance of executive, non-executive and independent directors”; this statement should be assessed against the actual composition.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Ubuntu and Horizon together hold 65%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and both have board representation through the shareholders’ agreement.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The founders hold a further 25%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and both sit on the board.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Document 4 names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no lead independent director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states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no committee membership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beyond the chairs, and gives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no board or committee size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.</w:t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C.  Board composition and independence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736"/>
        <w:gridCol w:w="3040"/>
        <w:gridCol w:w="4104"/>
        <w:gridCol w:w="304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 and section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claim of balance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4 asserts “a balance of executive, non-executive and independent directors”.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On the face of it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only two of seven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are independent.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information memorandum overstates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governance position to a prospective investor.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composition of the governing body: an appropriate balance of knowledge, skills, experience, diversity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independence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Companies Act s76(3)(a)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director must act in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good faith and for a proper purpose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s29(2)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financial statements or reports must not be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false or misleading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a material respect.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2/7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with 65% of the shares represented on the board by two non-independent nominees.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information memorandum must accurately describe the board’s independence because a potential investor may rely on it to assess Axion’s governance and decide whether to invest. If the board appears more independent than it is, the investor could be misled.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statement that the board is balanced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fully supported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because only two of seven directors are described as independent.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the wording in the information memorandum be amended or supported by a formal independence assessment before issue.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Independence is a conclusion, not a label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Directors described as independent may not be independent in substance.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unchallenged decisions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of a board that cannot exercise objective judgement.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independence is assessed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substantively and holistically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considering whether there is an interest, position or relationship that is likely to influence judgement unduly.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s94(4)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independence tests are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persuasive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for a private company, not binding.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Van de Wyk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investment director of a 35% shareholder.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Kahn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partner of a 30% shareholder. Both are shareholder nominees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neither is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Low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founder and 7% shareholder; long association with Axion since 2011.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September and Mthanda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are the only two described as independent,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Mthanda’s status must be tested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see section F.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Independence should be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assessed in substance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not accepted from a director’s title alone.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 annual assessment considering length of service, shareholding, previous employment, business relationships and nominee status, with reasons documented.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lead independent director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4 names no lead independent director.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there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counterweight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if the chair is conflicted or unavailable,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one to lead the chair’s own evaluation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lead independent director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should be appointed where the chair is not independent, is conflicted, or where the role otherwise requires it.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Axion’s chair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described as independent, so a lead independent director is not automatically indicated.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But the chair holds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three chairs simultaneously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which raises the question of who leads the board when she is conflicted — for example on her own remuneration or evaluation.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board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should appoint a lead independent director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to lead matters where the chair is conflicted, unavailable or being evaluated.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Shareholder concentration on the board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Two of five non-executives are nominees of shareholders holding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65%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between them.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board advances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shareholder interests rather than the interests of the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that minority shareholders — including the Employee &amp; Empowerment Trust — are not protected.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s76(3)(b)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director must act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the best interests of the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not of the shareholder who nominated them.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s66(1)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business and affairs of the company are managed by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board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stakeholder-inclusive approach; the governing body serves the organisation.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nominee director owes duties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to Axion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not to Ubuntu or Horizon.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Employee &amp; Empowerment Trust holds 10%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has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board representation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named in Document 4.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shareholder nominees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may reduce objective decision-making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must act in Axion’s best interests rather than those of Ubuntu or Horizon.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formal conflict and recusal procedures, controls over shareholder information sharing, and consideration of the Trust’s interests in major decisions.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Skills against the strategy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board lacks the skills for what Axion is about to do —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R3–5bn capital programme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new funding structures and possible African expansion.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governing body should have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knowledge, skills, experience and capacity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required, and should plan its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succession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composition.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Stated skills: telecommunications and infrastructure; engineering; finance and corporate finance; technology; audit and risk; investment.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director is described as having sustainability, environmental, cyber or information technology governance expertise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although Document 7 raises sustainability and an AI pilot.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board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may lack the sustainability, cyber and technology-governance expertise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needed for Axion’s strategy and AI pilot.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identified skills gaps be addressed through targeted appointments, director training or independent advisers.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D.  Conflicts of interest — Van de Wyk and the Investment Committee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A significant governance issue arises because Michael van de Wyk chairs the Investment Committee while serving as investment director of Ubuntu Infrastructure, which holds 35% of Axion.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736"/>
        <w:gridCol w:w="3040"/>
        <w:gridCol w:w="4104"/>
        <w:gridCol w:w="304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 and section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Chairing the committee that decides on investments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Ubuntu’s investment interests influence Axion’s capital allocation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co-investment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or of Ubuntu taking an opportunity that belongs to Axion.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chair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controls the agenda, the information and the recommendation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the board.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governing body should govern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conflicts of 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a member should not participate where conflicted.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committee composition and independence, and the delegation of authority.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director with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personal financial 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a matter must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disclose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it and, in general,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 take part in the consideration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of the matter.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s76(2)(a)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director must not use their position or information to gain an advantage for themselves or another person, or to knowingly cause harm to the company.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s76(3)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good faith, proper purpose, best interests of the company, and the degree of care, skill and diligence of a reasonably diligent person with that director’s knowledge and experience.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75 applies only if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Van de Wyk, or a person related to him, has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personal financial 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in the investment decision.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His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employment by Ubuntu does not automatically create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personal financial interest. Confirm whether he owns an interest in Ubuntu or receives a benefit linked to Ubuntu’s return on Axion.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If he has such an 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he must disclose it and not participate in the decision.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If he does not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section 75 may not apply, but he must still comply with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76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must not use Axion’s information or his position to benefit Ubuntu.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Chairing the committee that allocates Axion’s capital while representing its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largest shareholder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conflict that must be managed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whether or not s75 is engaged.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 independent chair for the Investment Committee, or at minimum recusal and an independent quorum whenever Ubuntu has an interest, supported by terms of reference and a conflicts register.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Both institutional nominees on the board at once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Ubuntu and Horizon, holding 65%,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align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effectively control board outcomes.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R3–5bn funding decision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is taken in the interests of the existing shareholders rather than of Axion.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s76(3)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as above, applied to each nominee.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conflicts, and the stakeholder-inclusive approach.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funding options include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investment from existing shareholders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new strategic investor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Both directly engage the interests of Ubuntu and Horizon — for example dilution, pre-emptive rights and pricing.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On those matters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both nominees are conflicted at the same time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leaving only September, Mthanda, and the executives.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board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may be unable to form an independent quorum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on the funding decision, which is the most material decision before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 independent committee or independent adviser for the funding review, and a documented fairness assessment of any shareholder-linked transaction.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Confidential information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Axion information reaches Ubuntu or Horizon and is used for their advantage.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s76(2)(a)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no use of position or information for the advantage of another person.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information governance and conflict management.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SAICA Code s114 Confidentiality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for any member; and the fundamental principle applies as a standard of conduct to directors generally.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Nominee directors ordinarily report back to the shareholder that appointed them.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That reporting is where s76(2)(a) is most likely to be breached.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Reporting back to Ubuntu or Horizon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is not permitted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where it uses Axion’s information for their advantage.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written information-sharing protocol setting out what a nominee may report, and a confidentiality undertaking from each nominee.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E.  The chair — capacity and committee roles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Dr Lindiwe September chairs the board, the Social, Ethics &amp; Sustainable Committee and the Remuneration &amp; Nomination Committee.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736"/>
        <w:gridCol w:w="3040"/>
        <w:gridCol w:w="4104"/>
        <w:gridCol w:w="304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 and section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Three chairs held by one person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overload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insufficient time to discharge any of the roles properly.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concentration of influence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a single director.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board’s oversight of those committees is weakened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because the person reporting to the board is the person chairing it.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governing body should ensure its members have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capacity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discharge their roles, and should consider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other commitments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delegation to committees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should not dilute the governing body’s own accountability.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s76(3)(c)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degree of care, skill and diligence reasonably expected.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Three chairs is a substantial load for one non-executive, particularly during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R3–5bn capital programme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strategic funding review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When the Social and Ethics Committee or the Remuneration Committee reports to the board,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chair of the board is reporting to herself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Holding the board chair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two committee chairs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concentrates influence in one director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weakens the board’s oversight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of those committees, because she reports to herself.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at least one committee chair be reassigned. Axion has only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one other independent non-executive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this may require appointing a further independent director.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Board chair chairing Remuneration &amp; Nomination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chair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influences her own remuneration, her own re-election and the nomination of her colleagues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self-review and self-interest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conflict in the nomination function.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remuneration governance, and the composition and chairing of committees.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IV recommended practice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which the course materials use, is that the chair of the governing body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should not chair the remuneration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although the chair may be a member.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s66(9)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remuneration of directors for their service as directors requires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shareholder approval by special resolution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within the previous two years.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Flag this as the clearest recommended-practice departure on page 12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check the exact King V practice before asserting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Nomination is the more sensitive half: the chair chairing nomination means she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influences who joins the board she chairs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which is directly relevant when a new investor seeks board representation.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board chair chairing Remuneration &amp; Nomination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departure from recommended practice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creates a self-interest conflict over her own fees, re-election and the nomination of colleagues.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an independent non-executive other than the board chair chairs this committee; failing that, that she recuses herself from her own remuneration and re-election, and that s66(9) approval is confirmed.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Combining social and ethics with sustainability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statutory functions in Reg 43(5) are diluted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within a broader sustainability mandate.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Reg 43(5)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sets out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statutory functions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of the social and ethics committee, including monitoring the company’s activities against specified instruments, and drawing matters to the board’s attention.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Reg 43(5)(c)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committee must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report to the shareholders at the annual general meeting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Axion’s committee is styled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“Social, Ethics &amp; Sustainable”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which is wider than the statutory mandate. That is permissible, but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statutory functions must still be discharged and evidenced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wider sustainability mandate is permissible, but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statutory Reg 43(5) functions must still be discharged and evidenced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the terms of reference be mapped against Reg 43(5) and that the committee’s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report to shareholders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under Reg 43(5)(c) be confirmed.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F.  Audit and Risk Committee — Mthanda, KZL Inc and cooling off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Thandi Mthanda is described as an independent non-executive director and a former audit partner and CFO. She chairs the Audit &amp; Risk Committee. KZL Inc is Axion’s external auditor (Document 2).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736"/>
        <w:gridCol w:w="3040"/>
        <w:gridCol w:w="4104"/>
        <w:gridCol w:w="304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 and section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Former audit partner — of which firm?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If Mthanda was a partner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KZL Inc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there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familiarity and self-review threat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KZL’s independence, and her own independence is doubtful.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If she was a partner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elsewhere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the concern is much reduced.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compulsory audit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is performed by a firm that is not independent.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SAICA Code Part 4A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independence for audit and review engagements.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Code s540 Long Association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the sections dealing with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former partner of the firm serving as a director of an audit client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which create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self-interest, self-review, familiarity and intimidation threats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independence assessed substantively; a former partner of the external audit firm is an independence indicator.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Auditing Profession Act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registered auditor must be independent.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Document 4 does not name the firm or the date.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These are the two facts the whole analysis turns on, and neither is given.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Because the audit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compulsory under Reg 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Axion is likely to meet the Code’s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public interest entity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definition,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stricter listed-entity independence requirements are in point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The course materials work exactly this test: a public interest score above 350 means the audit must be conducted in compliance with the same independence requirements that apply to a listed entity.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On that footing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cooling-off period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applies before a former partner may join the client’s board, and her chairing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Audit &amp; Risk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the committee that oversees the auditor — is the most sensitive seat she could occupy.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If Mthanda was a partner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KZL Inc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the cooling-off period has not expired, she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is not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KZL’s independence is compromised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the conclusion is that either she should not chair Audit &amp; Risk, or KZL cannot continue as auditor.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If she was a partner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elsewhere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she may be independent, but this must be confirmed rather than assumed.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obtaining the firm, the role, the date she left, whether she served on the Axion engagement, and whether she retains any financial interest or pension from the firm.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Former CFO — of which company?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If she was CFO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of Axion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she cannot be independent and would fail the s94(4) tests if they applied.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self-review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over statements she previously prepared.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s94(4)(a)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member of a statutory audit committee must not be involved in the day-to-day management and must not have been a prescribed officer or full-time employee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the previous three financial years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substantive independence.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4 does not say of which company she was CFO. Read naturally it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another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which would not offend independence.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s94(4) does not bind Axion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as a private company, but it is the natural benchmark and a marker will expect it to be cited as such.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If she was CFO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of Axion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within the previous three financial years she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cannot be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; if of another company, independence is not offended.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confirming which company and over what period before her independence is relied on.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One committee for audit and risk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 oversight is crowded out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by the financial reporting and audit agenda.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a committee chaired by one person covers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financial reporting, external audit, internal audit, internal control and the full risk universe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including the AI pilot, cyber and the capital programme.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risk and compliance governance; assurance and internal control; and the delegation of authority to committees.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technology and information governance, which includes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artificial intelligence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Combining the two is common and permissible for a company of Axion’s size, and King V is applied and explained rather than complied with.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But Document 7 records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AI-enabled maintenance pilot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on which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Audit &amp; Risk Committee has requested assurance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Document 3 records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organisational capacity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as a stated constraint. The agenda is heavy.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Combining audit and risk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permissible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for a company of Axion’s size, but the agenda is heavy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risk oversight may be crowded out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reviewing the terms of reference, membership and meeting frequency, confirming how assurance over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AI pilot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is obtained, and considering whether a separate risk committee or an internal audit function is now warranted.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G.  The committees — statutory against voluntary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6"/>
        <w:gridCol w:w="3040"/>
        <w:gridCol w:w="3648"/>
        <w:gridCol w:w="3040"/>
        <w:gridCol w:w="2736"/>
      </w:tblGrid>
      <w:tr>
        <w:trPr>
          <w:tblHeader/>
        </w:trP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Committee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Source of the requirement</w:t>
            </w:r>
          </w:p>
        </w:tc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What the standard requires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Axion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Social, Ethics &amp; Sustainable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Chair: Dr September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Statutory.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s72 read with Reg 43, because the public interest score exceeds 500.</w:t>
            </w:r>
          </w:p>
        </w:tc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 43(4):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at least three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directors or prescribed officers,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at least one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 director not involved in day-to-day management and not so involved in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previous three financial years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 43(5): prescribed monitoring functions, and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report to shareholders at the AGM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Exists and is chaired by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independent chair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who satisfies the non-management requirement.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Membership is not disclosed.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Compulsory and in place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but composition is unverified.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confirming three or more members, the Reg 43(4) non-management member, and the Reg 43(5) functions.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Audit &amp; Risk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Chair: Mthanda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statutory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s94 applies to public and state-owned companies, or where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MOI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requires it.</w:t>
            </w:r>
          </w:p>
        </w:tc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If voluntary, the board sets the terms of reference.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assurance, internal control and risk governance.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s94(4) independence tests are a useful benchmark even where not binding.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Exists. Chaired by an independent non-executive whose independence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must be confirmed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section F.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Voluntary unless the MOI requires 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so s94 should not be applied to Axion without checking.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checking the MOI and shareholders’ agreement, and using the s94(4) tests as a benchmark for membership.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Remuneration &amp; Nomination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Chair: Dr September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statutory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for a private company.</w:t>
            </w:r>
          </w:p>
        </w:tc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fair, responsible and transparent remuneration.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s66(9)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directors’ fees require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special resolution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within the previous two years.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Chaired by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board chair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which is the recommended-practice departure flagged in section E.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chair should not chair this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see section 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reassigning the chair and confirming s66(9) approval of directors’ fees.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Investment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Chair: Van de Wyk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statutory.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board committee.</w:t>
            </w:r>
          </w:p>
        </w:tc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delegation of authority; conflicts of interest.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s75, s76(2)(a), s76(3)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Chaired by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nominee of the 35% shareholder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section D.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Chaired by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conflicted nominee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see section 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 independent chair, or recusal with an independent quorum, plus terms of reference and approval limits.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 mentioned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internal audit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function is referred to anywhere in Document 4.</w:t>
            </w:r>
          </w:p>
        </w:tc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assurance; the governing body should have an effective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combined assurance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model and should consider the need for an internal audit function.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For a business of Axion’s scale, with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R3–5bn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programme and a stated capacity constraint, the absence is notable.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absence of internal audit is a gap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in the assurance model for a business of this scale.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establishing or outsourcing internal audit and adopting a combined assurance model, as part of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MATURE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priority.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H.  Shareholders’ agreement, nomination rights and a new investor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736"/>
        <w:gridCol w:w="3040"/>
        <w:gridCol w:w="4104"/>
        <w:gridCol w:w="304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 and section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Nomination rights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shareholders’ agreement conflicts with the MOI or the Act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in which case it is void to that extent.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nominee directors act 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delegates of their appointer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s15(7)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shareholders’ agreement must be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consistent with the Act and the MOI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any inconsistent provision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void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s66(4)(a)(i)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MOI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may provide for the direct appointment of directors by a named person.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s66(7)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person becomes a director only on delivering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written consent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serve.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s76(3)(b)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best interests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4 places the nomination right in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shareholders’ agreement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not the MOI.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66(4)(a)(i) requires the MOI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to provide for direct appointment. If the right is only contractual, it may be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unenforceable against the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15(7) makes the provision void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to the extent it is inconsistent with the MOI or the 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Under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76(3)(b)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 nominee owes duties to Axion, so the agreement cannot oblige them to follow Ubuntu or Horizon.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nomination right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may not be validly constituted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unless it is also in the MOI, and any instruction to vote in the appointer’s interests would be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void and a breach of s76(3)(b)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obtaining the MOI and shareholders’ agreement, aligning the nomination right in the MOI, and checking that reserved matters do not fetter the board contrary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s66(1)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 new strategic investor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dilution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of the founders and the Employee &amp; Empowerment Trust.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a further nominee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worsens the independence balance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existing shareholders and the new investor have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conflicting interests on price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s39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pre-emptive rights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on an issue of shares by a private company, unless the MOI provides otherwise.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s38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authorisation of shares.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s41(1)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shareholder approval for an issue to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director, prescribed officer or related person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s41(3)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special resolution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where the issue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30% or more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of the voting power before the issue.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composition, and stakeholder-inclusive decision making.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39 gives existing shareholders pre-emptive rights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a new investor can only be issued shares if those rights are waived or excluded in the MOI.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41(1) applies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Ubuntu or Horizon subscribe, because both are related to directors on the board —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special resolution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is then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41(3) applies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the raise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30% or more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of the voting power, which a R3–5bn issue plausibly 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further nominee would take the board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three shareholder nominees against two independents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share issue to fund the capital programme will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require shareholder approval under s41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the board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cannot proceed on its own authority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modelling the post-issue shareholding and board composition, confirming whether s39 is excluded in the MOI, and protecting the Trust’s 10% against dilution.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Employee &amp; Empowerment Trust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Trust’s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governance is not addressed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trustees, voting, and whether executives are trustees.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conflict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if a director is also a trustee.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if a director is a trustee with a personal financial interest.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stakeholder-inclusive approach; conflicts of interest.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Trust holds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10%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but appears in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board or committee role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in Document 4, and Document 4 does not say who exercises its vote.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75 is engaged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any Axion director is also a trustee and has a personal financial interest in a matter before the board.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Trust’s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interests are not visibly represented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in Axion’s governance, which is a weakness given its 10% holding and employee beneficiaries.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obtaining the trust deed and trustee list, confirming who votes the Trust’s shares, and disclosing any director who is also a trustee.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I.  Delegation, and from founder-led to institutionally backed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736"/>
        <w:gridCol w:w="3040"/>
        <w:gridCol w:w="4104"/>
        <w:gridCol w:w="304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 and section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Delegation to the CEO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delegation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 documented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so the boundary between board and management is unclear.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over-concentration in the founder CEO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who is also an 18% shareholder.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s66(1)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board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manages the business and affairs and may exercise all the powers of the company.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delegation to management, the role of the CEO, and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delegation of authority framework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CEO should not be involved in decisions on their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own remuneration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4 says the board retains oversight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strategy, material capital investments, risks and executive appointments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with operations delegated to the CEO.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66(1) permits delegation but not abdication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the board remains accountable for what it delegates.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“Material” is not defined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no delegation of authority framework is mentioned, so the boundary is untested.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Moleke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founder, CEO and an 18% shareholder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concentrating influence in one person.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Delegation appears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appropriate in principle but is not evidenced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an undefined materiality threshold means capital spend could bypass the board.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adopting a written delegation of authority framework with rand approval limits, defining “material capital investment”, and excluding the CEO from his own remuneration decisions.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Maturing the governance as Axion scales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governance does not keep pace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with a R3–5bn capital programme.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ethical culture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as the founder culture is formalised.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ethical culture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as a governance outcome; the governing body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governs ethics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sets the tone.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organisation should have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capacity and capability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execute its strategy.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Reg 43(5)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social and ethics committee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monitors ethics and corporate citizenship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4 records a commitment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“an ethical culture, effective control and transparent reporting”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“progressively formalising”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systems and governance.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3 lists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organisational capacity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as a stated constraint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MATURE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as a strategic priority.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Reg 43(5) already obliges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social and ethics committee to monitor ethics, so the mechanism exists and must be used.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Axion’s governance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formalising but incomplete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capacity is a stated constraint at the point of greatest demand on the board.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in order: delegation of authority framework; conflicts and related-party policy and register; committee terms of reference; risk register and combined assurance; internal audit; code of ethics and whistleblowing; and an annual board evaluation.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J.  The SAICA Code — Sarah Naidoo CA(SA), and you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The course materials are explicit: apply King V to a director, and the SAICA Code to a CA(SA). Only a registered member or associate is bound by the Code in full.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6"/>
        <w:gridCol w:w="3344"/>
        <w:gridCol w:w="4560"/>
        <w:gridCol w:w="4560"/>
      </w:tblGrid>
      <w:tr>
        <w:trPr>
          <w:tblHeader/>
        </w:trP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Who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Which source applies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What it requires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Sarah Naidoo CA(SA)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CFO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SAICA Code in full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professional accountant in business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Part 1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Part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as a director.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Fundamental principles (s110):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integrity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objectivity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professional competence and due care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confidentiality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professional behaviour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Conceptual framework (s120):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identify, evaluate and address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threats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Threats (s120.6 A3):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self-interest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self-review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advocacy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familiarity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intimidation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s260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responding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non-compliance with laws and regulations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She prepares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information memorandum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(Document 4) and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business performance pack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(Documents 5 and 7).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If the memorandum overstates board independence,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integrity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professional behaviour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are threatened,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s29(2)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of the Companies Act may be contravened.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Self-interest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arises if her remuneration is linked to the funding outcome;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intimidation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shareholders press for a particular presentation.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260 applies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she becomes aware of non-compliance: understand the matter, raise it, escalate to the board, and document.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You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newly qualified CA(SA)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SAICA Code in full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Part 1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Part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 same fundamental principles and threats.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s260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NOCLAR.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s270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pressure to breach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fundamental principles.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You report to the CFO.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270 applies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you are pressed to prepare or support a statement you believe to be misleading — you may not allow the pressure to result in a breach.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260 applies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the matter amounts to non-compliance: raise it with the CFO, escalate to the board, and document throughout.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other directors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Companies Act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SAICA Code, unless shown to be a member.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 fundamental principles may still be used 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standards of conduct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particularly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objectivity, integrity and confidentiality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4 describes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only Naidoo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as CA(SA).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Do not apply the Code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to Van de Wyk, Kahn, September, Mthanda, Moleke or Low. Apply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King V, s75 and s76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use the fundamental principles in support.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KZL Inc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external auditor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SAICA Code Part 4A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Auditing Profession Act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Independence for audit engagements.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s540 Long association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the provisions on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former partner joining an audit client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Stricter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listed-entity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requirements if Axion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public interest entity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Axion’s audit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compulsory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under Reg 28 and its public interest score likely makes it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the stricter independence requirements apply.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Part 4A is engaged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by the Mthanda question in section F, and by any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non-assurance services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KZL provides.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K.  How to answer a governance or ethics required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The structure below is the one set out in the IAC 2026 GAA Tutorial solutions.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4560"/>
        <w:gridCol w:w="9424"/>
      </w:tblGrid>
      <w:tr>
        <w:trPr>
          <w:tblHeader/>
        </w:trP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Step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What to write</w:t>
            </w:r>
          </w:p>
        </w:tc>
      </w:tr>
      <w:t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Identify the person and the source that binds them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director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A CA(SA) →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SAICA Code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Everyone →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Companies Act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State the issue, from the scenario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Use the facts given. Name the director, the committee and the shareholding.</w:t>
            </w:r>
          </w:p>
        </w:tc>
      </w:tr>
      <w:t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Give the generic guidance from the standard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What King V or the Code says should happen. For the Code, name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threats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fundamental principles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compromised.</w:t>
            </w:r>
          </w:p>
        </w:tc>
      </w:tr>
      <w:t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Explain why it is an issue for this person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Apply the guidance to the facts. This is where the marks are.</w:t>
            </w:r>
          </w:p>
        </w:tc>
      </w:tr>
      <w:t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Link any breach of the Act back to the Code and to King V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contravention of the Companies Act by a CA(SA) is a breach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professional behaviour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integrity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they knew, and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professional competence and due care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they ought to have known.</w:t>
            </w:r>
          </w:p>
        </w:tc>
      </w:tr>
      <w:t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Conclude and recommend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Say what should be done: disclose, recuse, restructure the committee, obtain the document, amend the terms of reference. An analysis without a recommendation is incomplete.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00"/>
      </w:tblGrid>
      <w:tr>
        <w:tc>
          <w:tcPr>
            <w:tcW w:type="dxa" w:w="15200"/>
            <w:tcBorders>
              <w:top w:val="single" w:color="888888" w:sz="4" w:space="6"/>
              <w:left w:val="single" w:color="888888" w:sz="4" w:space="6"/>
              <w:bottom w:val="single" w:color="888888" w:sz="4" w:space="6"/>
              <w:right w:val="single" w:color="888888" w:sz="4" w:space="6"/>
            </w:tcBorders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Five errors to avoid on this trigger.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Applying s94 to Axion.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It is a private company; s94 binds public and state-owned companies, or where the MOI requires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Assuming s75 applies to Van de Wyk automatically.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s75 needs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personal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financial interest. Establish it.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s76(2)(a)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applies regardless.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Treating King V as law.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It is apply and explain, and Document 4 says only that Axion is “informed by”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Applying the SAICA Code to directors who are not CA(SA).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Only Naidoo is described as one.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Missing that the social and ethics committee is compulsory.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public interest score puts Axion well above the Reg 43 threshold.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L.  Information required on the day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0640"/>
      </w:tblGrid>
      <w:tr>
        <w:trPr>
          <w:tblHeader/>
        </w:trP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Document or fact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Why it is needed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MOI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Whether it requires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audit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(s94), how directors are appointed (s66(4)), and whether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pre-emptive rights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are excluded (s39).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Shareholders’ agreement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nomination rights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reserved matters and veto rights, and consistency with the MOI and the Act under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s15(7)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Which firm Mthanda was a partner of, and when she left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whole of section F turns on it. If it was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KZL Inc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the cooling-off period has not run, both her independence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KZL’s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are in question.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Van de Wyk’s personal interests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Any interest in Ubuntu, carried interest, or incentive linked to Axion — which decides whether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s75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is engaged as well 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s76(2)(a)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Committee terms of reference and membership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Only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chairs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are named in Document 4. Composition is needed to test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Reg 43(4)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to assess independence of each committee.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Board independence assessment and skills matrix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To test the claim of “a balance of executive, non-executive and independent directors”.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Directors’ tenure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Long tenure is an independence indicator, particularly for September and Mthanda.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Conflicts register and s75 disclosures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To evidence that conflicts are declared and managed.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Delegation of authority framework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To test the board’s stated retention of oversight over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material capital investments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Whether an internal audit function exists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Part of the assurance and MATURE analysis.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Third-party liability at year end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To compute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public interest score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precisely rather than on total liabilities.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Directors’ fee approval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Whether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s66(9) special resolution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has been passed in the previous two years.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M.  Sources and verification status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2"/>
        <w:gridCol w:w="5168"/>
        <w:gridCol w:w="6080"/>
      </w:tblGrid>
      <w:tr>
        <w:trPr>
          <w:tblHeader/>
        </w:trPr>
        <w:tc>
          <w:tcPr>
            <w:tcW w:type="dxa" w:w="395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Source</w:t>
            </w:r>
          </w:p>
        </w:tc>
        <w:tc>
          <w:tcPr>
            <w:tcW w:type="dxa" w:w="516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Used for</w:t>
            </w:r>
          </w:p>
        </w:tc>
        <w:tc>
          <w:tcPr>
            <w:tcW w:type="dxa" w:w="6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95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Pre-release, Document 4 pages 11–12</w:t>
            </w:r>
          </w:p>
        </w:tc>
        <w:tc>
          <w:tcPr>
            <w:tcW w:type="dxa" w:w="516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Shareholding, board table, committees, governance statement.</w:t>
            </w:r>
          </w:p>
        </w:tc>
        <w:tc>
          <w:tcPr>
            <w:tcW w:type="dxa" w:w="6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Primary source.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Quoted directly.</w:t>
            </w:r>
          </w:p>
        </w:tc>
      </w:tr>
      <w:tr>
        <w:tc>
          <w:tcPr>
            <w:tcW w:type="dxa" w:w="395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Companies Act 71 of 2008</w:t>
            </w:r>
          </w:p>
        </w:tc>
        <w:tc>
          <w:tcPr>
            <w:tcW w:type="dxa" w:w="516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s15(7), s29(2), s38, s39, s41, s66, s72, s75, s76, s94.</w:t>
            </w:r>
          </w:p>
        </w:tc>
        <w:tc>
          <w:tcPr>
            <w:tcW w:type="dxa" w:w="6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Read the sections before quoting subsection numbers.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section numbers are as commonly cited; the subsection detail should be confirmed against the Act.</w:t>
            </w:r>
          </w:p>
        </w:tc>
      </w:tr>
      <w:tr>
        <w:tc>
          <w:tcPr>
            <w:tcW w:type="dxa" w:w="395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Companies Regulations 2011</w:t>
            </w:r>
          </w:p>
        </w:tc>
        <w:tc>
          <w:tcPr>
            <w:tcW w:type="dxa" w:w="516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 26(2) public interest score; Reg 28 audit; Reg 43 social and ethics committee.</w:t>
            </w:r>
          </w:p>
        </w:tc>
        <w:tc>
          <w:tcPr>
            <w:tcW w:type="dxa" w:w="6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Verified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thresholds of 350 for audit and above 500 in two of five years for the social and ethics committee, and the Reg 43(4) composition rule.</w:t>
            </w:r>
          </w:p>
        </w:tc>
      </w:tr>
      <w:tr>
        <w:tc>
          <w:tcPr>
            <w:tcW w:type="dxa" w:w="395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 Code, 2025</w:t>
            </w:r>
          </w:p>
        </w:tc>
        <w:tc>
          <w:tcPr>
            <w:tcW w:type="dxa" w:w="516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Composition and independence, chair, committees, delegation, conflicts, remuneration, assurance, ethics, stakeholders, technology.</w:t>
            </w:r>
          </w:p>
        </w:tc>
        <w:tc>
          <w:tcPr>
            <w:tcW w:type="dxa" w:w="6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Cited by subject matter only.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13 principles, apply and explain, effective for years beginning on or after 1 January 2026 — verified.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Principle and practice numbers were NOT verified and are deliberately not quoted.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Confirm them against the Code before citing.</w:t>
            </w:r>
          </w:p>
        </w:tc>
      </w:tr>
      <w:tr>
        <w:tc>
          <w:tcPr>
            <w:tcW w:type="dxa" w:w="395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IV</w:t>
            </w:r>
          </w:p>
        </w:tc>
        <w:tc>
          <w:tcPr>
            <w:tcW w:type="dxa" w:w="516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 recommended practice that the board chair should not chair the remuneration committee.</w:t>
            </w:r>
          </w:p>
        </w:tc>
        <w:tc>
          <w:tcPr>
            <w:tcW w:type="dxa" w:w="6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Used because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IAC 2026 course materials are written on King IV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Confirm the equivalent King V practice.</w:t>
            </w:r>
          </w:p>
        </w:tc>
      </w:tr>
      <w:tr>
        <w:tc>
          <w:tcPr>
            <w:tcW w:type="dxa" w:w="395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SAICA Code of Professional Conduct</w:t>
            </w:r>
          </w:p>
        </w:tc>
        <w:tc>
          <w:tcPr>
            <w:tcW w:type="dxa" w:w="516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Fundamental principles; s120 conceptual framework; s120.6 A3 threats; s260 NOCLAR; s270 pressure; Part 4A independence; s540 long association.</w:t>
            </w:r>
          </w:p>
        </w:tc>
        <w:tc>
          <w:tcPr>
            <w:tcW w:type="dxa" w:w="6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Fundamental principles and the five threats are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quoted as the IAC 2026 GAA Notes state them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Part 4A and s540 detail should be read before citing paragraph numbers.</w:t>
            </w:r>
          </w:p>
        </w:tc>
      </w:tr>
      <w:tr>
        <w:tc>
          <w:tcPr>
            <w:tcW w:type="dxa" w:w="395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IAC 2026 GAA Notes and Tutorials</w:t>
            </w:r>
          </w:p>
        </w:tc>
        <w:tc>
          <w:tcPr>
            <w:tcW w:type="dxa" w:w="516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 answer structure in section K; the public interest entity link; the rule that King applies to directors and the Code to members.</w:t>
            </w:r>
          </w:p>
        </w:tc>
        <w:tc>
          <w:tcPr>
            <w:tcW w:type="dxa" w:w="6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Verified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against the supplied materials.</w:t>
            </w:r>
          </w:p>
        </w:tc>
      </w:tr>
      <w:tr>
        <w:tc>
          <w:tcPr>
            <w:tcW w:type="dxa" w:w="395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Other pre-release documents</w:t>
            </w:r>
          </w:p>
        </w:tc>
        <w:tc>
          <w:tcPr>
            <w:tcW w:type="dxa" w:w="516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2 (KZL Inc, 300 employees), Document 3 (funding options, constraints, MATURE), Documents 5 and 7 (financials, AI pilot).</w:t>
            </w:r>
          </w:p>
        </w:tc>
        <w:tc>
          <w:tcPr>
            <w:tcW w:type="dxa" w:w="6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Used only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support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Document 4 analysis, and identified where used.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Prepared for APC 2026 September Qualifying Exam preparation. Axion Digital Infrastructure (Pty) Ltd is a fictitious entity created for assessment purposes.</w:t>
      </w:r>
    </w:p>
    <w:sectPr>
      <w:footerReference w:type="default" r:id="rId7"/>
      <w:pgSz w:w="16838" w:h="11906" w:orient="landscape"/>
      <w:pgMar w:top="720" w:right="720" w:bottom="6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44444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2026-09-21T08:46:48.705Z</dcterms:created>
  <dcterms:modified xsi:type="dcterms:W3CDTF">2026-09-21T08:46:48.705Z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